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февраля 2013 г. N 27275</w:t>
      </w:r>
    </w:p>
    <w:p w:rsidR="00B5053C" w:rsidRDefault="00B505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2012 г. N 881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КРИТЕРИЕВ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ОТНЕСЕНИЯ ТОВАРОВ, РАБОТ, УСЛУГ К </w:t>
      </w:r>
      <w:proofErr w:type="gramStart"/>
      <w:r>
        <w:rPr>
          <w:rFonts w:ascii="Calibri" w:hAnsi="Calibri" w:cs="Calibri"/>
          <w:b/>
          <w:bCs/>
        </w:rPr>
        <w:t>ИННОВАЦИОННОЙ</w:t>
      </w:r>
      <w:proofErr w:type="gramEnd"/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ВЫСОКОТЕХНОЛОГИЧНОЙ ПРОДУКЦИИ ДЛЯ ЦЕЛЕЙ ФОРМИРОВАНИЯ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ПЛАНА ЗАКУПКИ ТАКОЙ ПРОДУКЦИИ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4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Российская газета, N 3, 11 января 2013 г.) приказываю: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Федюкина И.И.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53C" w:rsidRDefault="00B505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Приказ Минобрнауки России от 01.11.2012 N 881.</w:t>
      </w:r>
    </w:p>
    <w:p w:rsidR="00B5053C" w:rsidRDefault="00B505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2013 г. N 881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КРИТЕРИИ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ОТНЕСЕНИЯ ТОВАРОВ, РАБОТ, УСЛУГ К </w:t>
      </w:r>
      <w:proofErr w:type="gramStart"/>
      <w:r>
        <w:rPr>
          <w:rFonts w:ascii="Calibri" w:hAnsi="Calibri" w:cs="Calibri"/>
          <w:b/>
          <w:bCs/>
        </w:rPr>
        <w:t>ИННОВАЦИОННОЙ</w:t>
      </w:r>
      <w:proofErr w:type="gramEnd"/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ВЫСОКОТЕХНОЛОГИЧНОЙ ПРОДУКЦИИ ДЛЯ ЦЕЛЕЙ ФОРМИРОВАНИЯ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ПЛАНА ЗАКУПКИ ТАКОЙ ПРОДУКЦИИ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инновационной продукции относятся товары, работы и услуги, удовлетворяющие совокупности критериев: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Научно-техническая новизна.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Данный критерий в отношении товаров характеризуется следующими признаками: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потребительские свойства товара являются улучшенными по сравнению с имеющимися </w:t>
      </w:r>
      <w:r>
        <w:rPr>
          <w:rFonts w:ascii="Calibri" w:hAnsi="Calibri" w:cs="Calibri"/>
        </w:rPr>
        <w:lastRenderedPageBreak/>
        <w:t>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Данный критерий в отношении работ, услуг характеризуется следующими признаками: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услуги являются принципиально новыми, ранее не выполнявшимися, оказывающимися;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Внедрение товаров, работ, услуг.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следующими признаками: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носят прикладной характер, имеют практическое применение;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внедрены в одной или нескольких отраслях промышленности.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Экономический эффект реализации товаров, работ, услуг.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планируемым положительным 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Наукоемкость товаров, работ, услуг.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научно-технических, конструктивных или (и) технологических решений.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высокотехнологичной продукции относятся товары, работы и услуги, удовлетворяющие совокупности критериев: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Соответствие приоритетным направлениям развития науки, технологий и техники в Российской Федерации.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Данный критерий характеризуется использованием при производстве товаров, выполнении работ, оказании услуг результатов научно-исследовательских и опытно-конструкторских работ, соответствующих приоритетным </w:t>
      </w:r>
      <w:hyperlink r:id="rId6" w:history="1">
        <w:r>
          <w:rPr>
            <w:rFonts w:ascii="Calibri" w:hAnsi="Calibri" w:cs="Calibri"/>
            <w:color w:val="0000FF"/>
          </w:rPr>
          <w:t>направлениям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 и (или) </w:t>
      </w:r>
      <w:hyperlink r:id="rId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</w:t>
      </w:r>
      <w:proofErr w:type="gramEnd"/>
      <w:r>
        <w:rPr>
          <w:rFonts w:ascii="Calibri" w:hAnsi="Calibri" w:cs="Calibri"/>
        </w:rPr>
        <w:t xml:space="preserve"> технологий Российской Федерации" (Собрание законодательства Российской Федерации, 2011, N 28, ст. 4168).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Высокотехнологичность товаров, работ, услуг.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следующими признаками: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изготавливаются, выполняются, оказываются предприятиями наукоемких отраслей экономики;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53C" w:rsidRDefault="00B50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53C" w:rsidRDefault="00B505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>
      <w:bookmarkStart w:id="1" w:name="_GoBack"/>
      <w:bookmarkEnd w:id="1"/>
    </w:p>
    <w:sectPr w:rsidR="00801459" w:rsidSect="00B1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3C"/>
    <w:rsid w:val="00801459"/>
    <w:rsid w:val="00B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9E0538C341305CF8478A881674ACE684D39339D094C274D4EAFEBBFF77E25B4800BD9375D0E41t5x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9E0538C341305CF8478A881674ACE684D39339D094C274D4EAFEBBFF77E25B4800BD9375D0E42t5xDI" TargetMode="External"/><Relationship Id="rId5" Type="http://schemas.openxmlformats.org/officeDocument/2006/relationships/hyperlink" Target="consultantplus://offline/ref=B6C9E0538C341305CF8478A881674ACE684837379E044C274D4EAFEBBFF77E25B4800BD9375D0E46t5x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2013-08-09T08:49:00Z</dcterms:created>
  <dcterms:modified xsi:type="dcterms:W3CDTF">2013-08-09T08:50:00Z</dcterms:modified>
</cp:coreProperties>
</file>