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5884" w:rsidP="004C16A3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№ 7284/248 К2-1-15-1</w:t>
      </w:r>
    </w:p>
    <w:p w:rsidR="00000000" w:rsidRPr="00A35D94" w:rsidRDefault="00A35D94" w:rsidP="004C16A3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4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ткрытия</w:t>
      </w:r>
      <w:r w:rsidR="00345884" w:rsidRPr="00A3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доступа</w:t>
      </w:r>
      <w:r w:rsidR="00345884" w:rsidRPr="00A3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34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45884" w:rsidRPr="00A3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заявкам</w:t>
      </w:r>
      <w:r w:rsidR="00345884" w:rsidRPr="00A3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45884" w:rsidRPr="00A3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  <w:r w:rsidR="00345884" w:rsidRPr="00A3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45884" w:rsidRPr="00A3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открытом конкурсе </w:t>
      </w:r>
      <w:r w:rsidR="0034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45884" w:rsidRPr="00A3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заключения договора на поставку</w:t>
      </w:r>
      <w:proofErr w:type="gramEnd"/>
      <w:r w:rsidR="00345884" w:rsidRPr="00A3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лоту №7284/248 К2-1-15 «Поставка ЩСН для ПС 330/10 кВ для сооружения энергоблока №1 Курской АЭС-2»</w:t>
      </w:r>
    </w:p>
    <w:p w:rsidR="00000000" w:rsidRPr="00A35D94" w:rsidRDefault="00345884" w:rsidP="004C16A3">
      <w:pPr>
        <w:keepLines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149"/>
        <w:gridCol w:w="5102"/>
      </w:tblGrid>
      <w:tr w:rsidR="00000000">
        <w:tc>
          <w:tcPr>
            <w:tcW w:w="5149" w:type="dxa"/>
            <w:hideMark/>
          </w:tcPr>
          <w:p w:rsidR="00000000" w:rsidRDefault="00345884" w:rsidP="004C16A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 Н.Новгород</w:t>
            </w:r>
          </w:p>
        </w:tc>
        <w:tc>
          <w:tcPr>
            <w:tcW w:w="5102" w:type="dxa"/>
            <w:hideMark/>
          </w:tcPr>
          <w:p w:rsidR="00000000" w:rsidRDefault="00345884" w:rsidP="004C16A3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«26»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мая 2015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00000" w:rsidRDefault="00345884" w:rsidP="004C16A3">
      <w:pPr>
        <w:keepLines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345884" w:rsidP="004C16A3">
      <w:pPr>
        <w:keepLines/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конкурс в электронной форме без квалификационного отбора проводится в соответствии с Единым отраслевым стандартом закупок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(Положением о закупке) Государственной корпорации по атомной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«Росатом», утвержденным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наблюдате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Госкорпорации «Росатом» (протокол от 07.02.2012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37)</w:t>
      </w:r>
      <w:r w:rsid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ЕОСЗ) в его действующей редакции,</w:t>
      </w:r>
      <w:r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функционала ЭТП </w:t>
      </w:r>
      <w:r w:rsid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регламенту ее работы.</w:t>
      </w:r>
    </w:p>
    <w:p w:rsidR="00000000" w:rsidRDefault="00345884" w:rsidP="004C16A3">
      <w:pPr>
        <w:keepLines/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345884" w:rsidP="004C16A3">
      <w:pPr>
        <w:keepLines/>
        <w:tabs>
          <w:tab w:val="left" w:pos="25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закупке:</w:t>
      </w:r>
    </w:p>
    <w:p w:rsidR="00000000" w:rsidRDefault="00345884" w:rsidP="004C16A3">
      <w:pPr>
        <w:keepLines/>
        <w:tabs>
          <w:tab w:val="left" w:pos="25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Заказчик: </w:t>
      </w:r>
      <w:r w:rsidR="00A35D94"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«НИАЭП».</w:t>
      </w:r>
    </w:p>
    <w:p w:rsidR="00000000" w:rsidRPr="00A35D94" w:rsidRDefault="00345884" w:rsidP="004C16A3">
      <w:pPr>
        <w:keepLines/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D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</w:t>
      </w:r>
      <w:r w:rsidRPr="00A35D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рса</w:t>
      </w: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АО </w:t>
      </w:r>
      <w:r w:rsid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«НИАЭП».</w:t>
      </w:r>
    </w:p>
    <w:p w:rsidR="00000000" w:rsidRPr="00A35D94" w:rsidRDefault="00345884" w:rsidP="004C16A3">
      <w:pPr>
        <w:keepLines/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D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конкурса</w:t>
      </w: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право заключения договора на поставку по лоту №7284/248 К2-1-15 «Поставка ЩСН для ПС 330/10 кВ для сооружения энергоблока №1 </w:t>
      </w:r>
      <w:proofErr w:type="gramStart"/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proofErr w:type="gramEnd"/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АЭС-2»</w:t>
      </w:r>
    </w:p>
    <w:p w:rsidR="00000000" w:rsidRPr="00A35D94" w:rsidRDefault="00345884" w:rsidP="004C1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договора: Поставка ЩСН 0,4 кВ для ПС 330/10 кВ подготовительного периода д</w:t>
      </w: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строительства энергоблока №1 </w:t>
      </w:r>
      <w:proofErr w:type="gramStart"/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proofErr w:type="gramEnd"/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АЭС-2 </w:t>
      </w:r>
    </w:p>
    <w:p w:rsidR="00487BE7" w:rsidRDefault="00487BE7" w:rsidP="004C1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Pr="00A35D94" w:rsidRDefault="00345884" w:rsidP="004C1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договора: 13</w:t>
      </w:r>
      <w:r w:rsidR="0048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48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068</w:t>
      </w:r>
      <w:r w:rsidR="00487BE7">
        <w:rPr>
          <w:rFonts w:ascii="Times New Roman" w:eastAsia="Times New Roman" w:hAnsi="Times New Roman" w:cs="Times New Roman"/>
          <w:sz w:val="28"/>
          <w:szCs w:val="28"/>
          <w:lang w:eastAsia="ru-RU"/>
        </w:rPr>
        <w:t>,56</w:t>
      </w: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(Тринадцать миллионов сто семьдесят пять тысяч шестьдесят восемь) рублей 56 копеек, включая НДС. </w:t>
      </w:r>
    </w:p>
    <w:p w:rsidR="00A35D94" w:rsidRPr="00A35D94" w:rsidRDefault="00A35D94" w:rsidP="004C1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объемы поставки товара – в соответствии со Спецификацией, приведенной в закупочной документации.</w:t>
      </w:r>
    </w:p>
    <w:p w:rsidR="00487BE7" w:rsidRDefault="00487BE7" w:rsidP="004C16A3">
      <w:pPr>
        <w:keepLines/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345884" w:rsidP="004C16A3">
      <w:pPr>
        <w:keepLines/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F6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F6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7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F627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электронной</w:t>
      </w:r>
      <w:r w:rsidRPr="00F627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форме</w:t>
      </w:r>
      <w:r w:rsidRPr="00F6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</w:t>
      </w:r>
      <w:r w:rsidRPr="00F6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урсная документация опубликован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 «21» апреля 2015 года в информационно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для размещения информации о размещении заказов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http://www.zakup</w:t>
        </w:r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ki.gov.ru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u w:val="none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закупка 31502282196,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заказов на закупки товаров, работ и услуг для нужд Госкорпорации «Росатом» 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http://zakupki.rosatom.ru/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закупка №150421/0536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/415,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ЭТП «АКД»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закупка №C021163.</w:t>
      </w:r>
    </w:p>
    <w:p w:rsidR="00A35D94" w:rsidRDefault="00A35D94" w:rsidP="004C16A3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D94" w:rsidRDefault="00A35D94" w:rsidP="004C16A3">
      <w:pPr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открытия доступа к заявкам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000" w:rsidRDefault="00345884" w:rsidP="004C16A3">
      <w:pPr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окончания срока подачи на участие в конкурсе на 09:00:00 (время московское) «26» мая 2015 года на </w:t>
      </w:r>
      <w:r w:rsidR="00A35D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ЭТП «АКД»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8DC" w:rsidRPr="00ED5C72" w:rsidRDefault="00B958DC" w:rsidP="004C16A3">
      <w:pPr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подано: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 участие в</w:t>
      </w:r>
      <w:r w:rsidR="00852420" w:rsidRPr="0085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ED5C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958DC" w:rsidRDefault="00B958DC" w:rsidP="004C16A3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отозвано: - 0 заявок на участие в </w:t>
      </w:r>
      <w:r w:rsidR="00852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0000" w:rsidRDefault="00345884" w:rsidP="004C16A3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Pr="00F627CB" w:rsidRDefault="00345884" w:rsidP="004C1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участниках конкурса, подавших заявки на участие в конкурсе: </w:t>
      </w:r>
    </w:p>
    <w:tbl>
      <w:tblPr>
        <w:tblW w:w="5248" w:type="pct"/>
        <w:jc w:val="center"/>
        <w:tblCellMar>
          <w:left w:w="0" w:type="dxa"/>
          <w:right w:w="0" w:type="dxa"/>
        </w:tblCellMar>
        <w:tblLook w:val="04A0"/>
      </w:tblPr>
      <w:tblGrid>
        <w:gridCol w:w="1146"/>
        <w:gridCol w:w="2374"/>
        <w:gridCol w:w="2975"/>
        <w:gridCol w:w="4055"/>
      </w:tblGrid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A35D9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договора, указанные в заявке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60270891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4" w:rsidRPr="004C16A3" w:rsidRDefault="00A35D9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НИПОМ</w:t>
            </w:r>
          </w:p>
          <w:p w:rsidR="00000000" w:rsidRPr="004C16A3" w:rsidRDefault="00A35D9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5249058696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A35D9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606007,  Нижегородская область, </w:t>
            </w:r>
            <w:proofErr w:type="gramStart"/>
            <w:r w:rsidRPr="00A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Дзержинск, ул. Зеленая, д. 10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10 895</w:t>
            </w:r>
            <w:r w:rsidR="00A35D94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A35D94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,42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(Десять миллионов восемьсот девяносто пять тысяч девятьсот шестьдесят пять) рублей 42 копейки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60271082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D94" w:rsidRPr="00A35D94" w:rsidRDefault="00A35D9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«Строительные Технологии XXI век»</w:t>
            </w:r>
          </w:p>
          <w:p w:rsidR="00000000" w:rsidRPr="004C16A3" w:rsidRDefault="00A35D9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7728615690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A35D9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117133, г. Москва, ул. Академика Варги, 4-140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12 275</w:t>
            </w:r>
            <w:r w:rsidR="00472DF3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72DF3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(Двенадцать миллионов двести семьдесят пять тысяч) рублей 00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60271186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F3" w:rsidRPr="00472DF3" w:rsidRDefault="00472DF3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Элком</w:t>
            </w:r>
            <w:proofErr w:type="spellEnd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0000" w:rsidRPr="004C16A3" w:rsidRDefault="00472DF3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5262293233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472DF3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603022, г. Нижний Новгород, 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Тимирязева, д.15, оф.5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12 290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(Двенадцать миллионо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двести девяносто тысяч) рублей 00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60271565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F3" w:rsidRPr="00472DF3" w:rsidRDefault="00472DF3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ПК </w:t>
            </w:r>
            <w:r w:rsidR="00EF5C9F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F5C9F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Электроконцепт</w:t>
            </w:r>
            <w:proofErr w:type="spellEnd"/>
            <w:r w:rsidR="00EF5C9F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0000" w:rsidRPr="004C16A3" w:rsidRDefault="00472DF3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5402494856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F3" w:rsidRPr="00472DF3" w:rsidRDefault="00472DF3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141240, Московская область, </w:t>
            </w:r>
            <w:proofErr w:type="gramStart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Пушкино, </w:t>
            </w:r>
            <w:proofErr w:type="spellStart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Мамонтовка</w:t>
            </w:r>
            <w:proofErr w:type="spellEnd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дом 2, </w:t>
            </w:r>
            <w:proofErr w:type="spellStart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72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12 499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976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(Двенадцать миллионов четыреста девяносто девять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тысяч девятьсот семьдесят шесть) рублей 00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60271688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9F" w:rsidRPr="00EF5C9F" w:rsidRDefault="00EF5C9F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Энергоинновация</w:t>
            </w:r>
            <w:proofErr w:type="spellEnd"/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0000" w:rsidRPr="004C16A3" w:rsidRDefault="00EF5C9F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7731637648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EF5C9F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121357, 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Москва,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10 886</w:t>
            </w:r>
            <w:r w:rsidR="00EF5C9F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EF5C9F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(Десять миллионов восемьсот восемьдесят шесть тысяч шестьсот восе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мьдесят) рублей 00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60271709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9F" w:rsidRPr="00EF5C9F" w:rsidRDefault="00EF5C9F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«Прогресс»</w:t>
            </w:r>
          </w:p>
          <w:p w:rsidR="00000000" w:rsidRPr="004C16A3" w:rsidRDefault="00EF5C9F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5037004040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EF5C9F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142281</w:t>
            </w:r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Московская область, г</w:t>
            </w:r>
            <w:proofErr w:type="gramStart"/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ротвино, Железнодорожная, 3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5 797</w:t>
            </w:r>
            <w:r w:rsidR="00EF5C9F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="00EF5C9F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(Пять миллионов семьсот девяносто семь тысяч четыреста пятьдесят восемь) рублей 00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60271714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64" w:rsidRPr="00115364" w:rsidRDefault="0011536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«ЭМКО»</w:t>
            </w:r>
          </w:p>
          <w:p w:rsidR="00000000" w:rsidRPr="004C16A3" w:rsidRDefault="0011536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7709735135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11536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115035, г. Москва, ул. Садовническая, д. 20, стр. 1, офис 301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11 995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(Одиннадцать миллионов девятьсот девяносто пять тысяч пятьсот д</w:t>
            </w:r>
            <w:r w:rsidR="00115364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вадцать шесть) рублей 00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60271749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EF5C9F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ЧЭАЗ</w:t>
            </w:r>
          </w:p>
          <w:p w:rsidR="00EF5C9F" w:rsidRPr="004C16A3" w:rsidRDefault="00EF5C9F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115364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2128000600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11536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428000,  Чувашская Республика - Чувашия, Чебоксары, пр. И.Яковлева, 5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7 519</w:t>
            </w:r>
            <w:r w:rsidR="00115364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</w:t>
            </w:r>
            <w:r w:rsidR="00115364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,34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(Семь миллионов пятьсот девятнадцать тысяч триста восемьдесят восемь) рублей 34 копейки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60271768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64" w:rsidRPr="00115364" w:rsidRDefault="0011536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ЭлекКом</w:t>
            </w:r>
            <w:proofErr w:type="spellEnd"/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Логистик»</w:t>
            </w:r>
          </w:p>
          <w:p w:rsidR="00000000" w:rsidRPr="004C16A3" w:rsidRDefault="0011536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2130133291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11536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428000, Чувашская Республика - Чувашия, </w:t>
            </w:r>
            <w:proofErr w:type="gramStart"/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Чебоксары, проспект И.Я. Яковлева, 3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8 550</w:t>
            </w:r>
            <w:r w:rsidR="00115364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15364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,01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(Восемь миллионов пятьсот пятьдесят тысяч) рублей 01 копейка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60271779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64" w:rsidRPr="00115364" w:rsidRDefault="0011536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«Завод </w:t>
            </w:r>
            <w:proofErr w:type="spellStart"/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Электробалт</w:t>
            </w:r>
            <w:proofErr w:type="spellEnd"/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0000" w:rsidRPr="004C16A3" w:rsidRDefault="0011536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7811349684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11536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193315, г.</w:t>
            </w:r>
            <w:r w:rsid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проспект Большевиков, д.52, к.6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12 384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(Двенадцать миллионов триста восемьдесят четыре тысячи четыреста пятьдесят четыре) рубля 00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60271811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64" w:rsidRPr="00115364" w:rsidRDefault="00115364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КБ ТЕХНАБ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0000" w:rsidRPr="004C16A3" w:rsidRDefault="0011536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7701587911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F118BB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249034, Калужская область, г</w:t>
            </w:r>
            <w:proofErr w:type="gramStart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бнинск, </w:t>
            </w:r>
            <w:proofErr w:type="spellStart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Белкинская</w:t>
            </w:r>
            <w:proofErr w:type="spellEnd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дом 43 А, </w:t>
            </w:r>
            <w:proofErr w:type="spellStart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12 295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(Двенадцать миллионов двести девяносто пять тысяч шестьсот) рублей 00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60271828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BB" w:rsidRPr="00F118BB" w:rsidRDefault="00F118BB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«ВНИИР»</w:t>
            </w:r>
          </w:p>
          <w:p w:rsidR="00000000" w:rsidRPr="004C16A3" w:rsidRDefault="00F118BB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2128001516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F118BB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428024, Чувашская Республика - Чувашия, г</w:t>
            </w:r>
            <w:proofErr w:type="gramStart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ебоксары, </w:t>
            </w:r>
            <w:proofErr w:type="spellStart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И.Яковлева, 4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12 784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(Двенадцать миллионов семьсот восемьдесят четыре тысячи триста семьдесят три) рубля 70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60271846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BB" w:rsidRPr="00F118BB" w:rsidRDefault="00F118BB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«ТОРГОВЫЙ ДОМ «АЛЬФА-ЭЛЕКТРОТЕХТОРГ</w:t>
            </w:r>
            <w:r w:rsidR="00852420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0000" w:rsidRPr="004C16A3" w:rsidRDefault="00F118BB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7723590594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F118BB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115477, 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Москва, ул. Деловая, д.11, корпус 1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12 700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,01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(Двенадцать миллионов семьсот тысяч) рублей 01 копейка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60271893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BB" w:rsidRPr="00F118BB" w:rsidRDefault="00F118BB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«ПРЕОРА»</w:t>
            </w:r>
          </w:p>
          <w:p w:rsidR="00000000" w:rsidRPr="004C16A3" w:rsidRDefault="00F118BB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7715647906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F118BB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125167, г. Москва, 4-я 8 Марта, 6А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8 716</w:t>
            </w:r>
            <w:r w:rsidR="00F118BB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</w:t>
            </w:r>
            <w:r w:rsidR="00F118BB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(Восемь миллионов семьсот шестнадцать тысяч восемьсот девяносто шесть) рублей 00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60271910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BB" w:rsidRPr="00F118BB" w:rsidRDefault="00F118BB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ФГУП «</w:t>
            </w: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УЭМЗ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0000" w:rsidRPr="004C16A3" w:rsidRDefault="00F118BB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6608004641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F118BB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620137, 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Екатеринбург, 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8 381</w:t>
            </w:r>
            <w:r w:rsidR="00F118BB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</w:t>
            </w:r>
            <w:r w:rsidR="00F118BB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,51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(Восемь миллионов триста восемьдесят одна тысяча семьсот девяносто девять) рублей 51 копейка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  <w:tr w:rsidR="00B958DC" w:rsidRPr="004C16A3" w:rsidTr="004C16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60271914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BB" w:rsidRPr="00F118BB" w:rsidRDefault="00B958DC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ПМСП «Электрон»</w:t>
            </w:r>
          </w:p>
          <w:p w:rsidR="00000000" w:rsidRPr="004C16A3" w:rsidRDefault="00F118BB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5410108649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BB" w:rsidRPr="004C16A3" w:rsidRDefault="00F118BB" w:rsidP="004C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630075,</w:t>
            </w: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Новосибирск, 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Танковая</w:t>
            </w:r>
            <w:proofErr w:type="gramEnd"/>
            <w:r w:rsidRPr="00F11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72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C16A3" w:rsidRDefault="00345884" w:rsidP="004C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13 009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B958DC"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,17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(Тринадцать миллионов девять тысяч восемьсот сорок) рублей 17 копеек</w:t>
            </w:r>
            <w:r w:rsidRPr="004C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НДС</w:t>
            </w:r>
          </w:p>
        </w:tc>
      </w:tr>
    </w:tbl>
    <w:p w:rsidR="00852420" w:rsidRDefault="00852420" w:rsidP="004C16A3">
      <w:pPr>
        <w:pStyle w:val="af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000000" w:rsidRDefault="00345884" w:rsidP="004C16A3">
      <w:pPr>
        <w:pStyle w:val="af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F627CB">
        <w:rPr>
          <w:rFonts w:eastAsia="Times New Roman"/>
          <w:sz w:val="28"/>
          <w:szCs w:val="28"/>
        </w:rPr>
        <w:t xml:space="preserve">Заявки участников </w:t>
      </w:r>
      <w:r w:rsidR="00852420">
        <w:rPr>
          <w:sz w:val="28"/>
          <w:szCs w:val="28"/>
        </w:rPr>
        <w:t>ОАО НИПОМ,</w:t>
      </w:r>
      <w:r w:rsidR="00852420" w:rsidRPr="00A35D94">
        <w:rPr>
          <w:sz w:val="28"/>
          <w:szCs w:val="28"/>
        </w:rPr>
        <w:t xml:space="preserve"> ООО «Строительные Технологии XXI век»</w:t>
      </w:r>
      <w:r w:rsidR="00852420">
        <w:rPr>
          <w:sz w:val="28"/>
          <w:szCs w:val="28"/>
        </w:rPr>
        <w:t xml:space="preserve">, </w:t>
      </w:r>
      <w:r w:rsidR="00852420" w:rsidRPr="00472DF3">
        <w:rPr>
          <w:sz w:val="28"/>
          <w:szCs w:val="28"/>
        </w:rPr>
        <w:t>ООО «</w:t>
      </w:r>
      <w:proofErr w:type="spellStart"/>
      <w:r w:rsidR="00852420" w:rsidRPr="00472DF3">
        <w:rPr>
          <w:sz w:val="28"/>
          <w:szCs w:val="28"/>
        </w:rPr>
        <w:t>Элком</w:t>
      </w:r>
      <w:proofErr w:type="spellEnd"/>
      <w:r w:rsidR="00852420" w:rsidRPr="00472DF3">
        <w:rPr>
          <w:sz w:val="28"/>
          <w:szCs w:val="28"/>
        </w:rPr>
        <w:t>»</w:t>
      </w:r>
      <w:r w:rsidR="00852420">
        <w:rPr>
          <w:sz w:val="28"/>
          <w:szCs w:val="28"/>
        </w:rPr>
        <w:t xml:space="preserve">, </w:t>
      </w:r>
      <w:r w:rsidR="00852420" w:rsidRPr="00472DF3">
        <w:rPr>
          <w:sz w:val="28"/>
          <w:szCs w:val="28"/>
        </w:rPr>
        <w:t xml:space="preserve">ООО ПК </w:t>
      </w:r>
      <w:r w:rsidR="00852420" w:rsidRPr="00EF5C9F">
        <w:rPr>
          <w:sz w:val="28"/>
          <w:szCs w:val="28"/>
        </w:rPr>
        <w:t>«</w:t>
      </w:r>
      <w:proofErr w:type="spellStart"/>
      <w:r w:rsidR="00852420" w:rsidRPr="00EF5C9F">
        <w:rPr>
          <w:sz w:val="28"/>
          <w:szCs w:val="28"/>
        </w:rPr>
        <w:t>Электроконцепт</w:t>
      </w:r>
      <w:proofErr w:type="spellEnd"/>
      <w:r w:rsidR="00852420" w:rsidRPr="00EF5C9F">
        <w:rPr>
          <w:sz w:val="28"/>
          <w:szCs w:val="28"/>
        </w:rPr>
        <w:t>»</w:t>
      </w:r>
      <w:r w:rsidR="00852420">
        <w:rPr>
          <w:sz w:val="28"/>
          <w:szCs w:val="28"/>
        </w:rPr>
        <w:t xml:space="preserve">, </w:t>
      </w:r>
      <w:r w:rsidR="00852420" w:rsidRPr="00EF5C9F">
        <w:rPr>
          <w:sz w:val="28"/>
          <w:szCs w:val="28"/>
        </w:rPr>
        <w:t xml:space="preserve">ООО </w:t>
      </w:r>
      <w:r w:rsidR="00852420" w:rsidRPr="00115364">
        <w:rPr>
          <w:sz w:val="28"/>
          <w:szCs w:val="28"/>
        </w:rPr>
        <w:t>«</w:t>
      </w:r>
      <w:proofErr w:type="spellStart"/>
      <w:r w:rsidR="00852420" w:rsidRPr="00EF5C9F">
        <w:rPr>
          <w:sz w:val="28"/>
          <w:szCs w:val="28"/>
        </w:rPr>
        <w:t>Энергоинновация</w:t>
      </w:r>
      <w:proofErr w:type="spellEnd"/>
      <w:r w:rsidR="00852420" w:rsidRPr="00115364">
        <w:rPr>
          <w:sz w:val="28"/>
          <w:szCs w:val="28"/>
        </w:rPr>
        <w:t>»</w:t>
      </w:r>
      <w:r w:rsidR="00852420">
        <w:rPr>
          <w:sz w:val="28"/>
          <w:szCs w:val="28"/>
        </w:rPr>
        <w:t xml:space="preserve">, </w:t>
      </w:r>
      <w:r w:rsidR="00852420" w:rsidRPr="00EF5C9F">
        <w:rPr>
          <w:sz w:val="28"/>
          <w:szCs w:val="28"/>
        </w:rPr>
        <w:t>ОАО «Прогресс»</w:t>
      </w:r>
      <w:r w:rsidR="00852420">
        <w:rPr>
          <w:sz w:val="28"/>
          <w:szCs w:val="28"/>
        </w:rPr>
        <w:t xml:space="preserve">, </w:t>
      </w:r>
      <w:r w:rsidR="00852420" w:rsidRPr="00115364">
        <w:rPr>
          <w:sz w:val="28"/>
          <w:szCs w:val="28"/>
        </w:rPr>
        <w:t>ООО «ЭМКО»</w:t>
      </w:r>
      <w:r w:rsidR="00852420">
        <w:rPr>
          <w:sz w:val="28"/>
          <w:szCs w:val="28"/>
        </w:rPr>
        <w:t xml:space="preserve">, ЗАО ЧЭАЗ, </w:t>
      </w:r>
      <w:r w:rsidR="00852420" w:rsidRPr="00115364">
        <w:rPr>
          <w:sz w:val="28"/>
          <w:szCs w:val="28"/>
        </w:rPr>
        <w:t xml:space="preserve">ООО </w:t>
      </w:r>
      <w:r w:rsidR="00852420">
        <w:rPr>
          <w:sz w:val="28"/>
          <w:szCs w:val="28"/>
        </w:rPr>
        <w:t>«</w:t>
      </w:r>
      <w:proofErr w:type="spellStart"/>
      <w:r w:rsidR="00852420">
        <w:rPr>
          <w:sz w:val="28"/>
          <w:szCs w:val="28"/>
        </w:rPr>
        <w:t>ЭлекКом</w:t>
      </w:r>
      <w:proofErr w:type="spellEnd"/>
      <w:r w:rsidR="00852420">
        <w:rPr>
          <w:sz w:val="28"/>
          <w:szCs w:val="28"/>
        </w:rPr>
        <w:t xml:space="preserve"> Логистик», </w:t>
      </w:r>
      <w:r w:rsidR="00852420" w:rsidRPr="00115364">
        <w:rPr>
          <w:sz w:val="28"/>
          <w:szCs w:val="28"/>
        </w:rPr>
        <w:t xml:space="preserve">ЗАО </w:t>
      </w:r>
      <w:r w:rsidR="00852420">
        <w:rPr>
          <w:sz w:val="28"/>
          <w:szCs w:val="28"/>
        </w:rPr>
        <w:t xml:space="preserve">«Завод </w:t>
      </w:r>
      <w:proofErr w:type="spellStart"/>
      <w:r w:rsidR="00852420">
        <w:rPr>
          <w:sz w:val="28"/>
          <w:szCs w:val="28"/>
        </w:rPr>
        <w:t>Электробалт</w:t>
      </w:r>
      <w:proofErr w:type="spellEnd"/>
      <w:r w:rsidR="00852420">
        <w:rPr>
          <w:sz w:val="28"/>
          <w:szCs w:val="28"/>
        </w:rPr>
        <w:t xml:space="preserve">», </w:t>
      </w:r>
      <w:r w:rsidR="00852420" w:rsidRPr="00115364">
        <w:rPr>
          <w:sz w:val="28"/>
          <w:szCs w:val="28"/>
        </w:rPr>
        <w:t xml:space="preserve">ООО </w:t>
      </w:r>
      <w:r w:rsidR="00852420">
        <w:rPr>
          <w:sz w:val="28"/>
          <w:szCs w:val="28"/>
        </w:rPr>
        <w:t>«</w:t>
      </w:r>
      <w:r w:rsidR="00852420" w:rsidRPr="00115364">
        <w:rPr>
          <w:sz w:val="28"/>
          <w:szCs w:val="28"/>
        </w:rPr>
        <w:t>КБ ТЕХНАБ</w:t>
      </w:r>
      <w:r w:rsidR="00852420">
        <w:rPr>
          <w:sz w:val="28"/>
          <w:szCs w:val="28"/>
        </w:rPr>
        <w:t xml:space="preserve">», </w:t>
      </w:r>
      <w:r w:rsidR="00852420" w:rsidRPr="00F118BB">
        <w:rPr>
          <w:sz w:val="28"/>
          <w:szCs w:val="28"/>
        </w:rPr>
        <w:t>ОАО «ВНИИР»</w:t>
      </w:r>
      <w:r w:rsidR="00852420">
        <w:rPr>
          <w:sz w:val="28"/>
          <w:szCs w:val="28"/>
        </w:rPr>
        <w:t xml:space="preserve">, </w:t>
      </w:r>
      <w:r w:rsidR="00852420" w:rsidRPr="00F118BB">
        <w:rPr>
          <w:sz w:val="28"/>
          <w:szCs w:val="28"/>
        </w:rPr>
        <w:t>ООО «ТОРГОВЫЙ ДОМ «АЛЬФА-ЭЛЕКТРОТЕХТОРГ</w:t>
      </w:r>
      <w:r w:rsidR="00852420">
        <w:rPr>
          <w:sz w:val="28"/>
          <w:szCs w:val="28"/>
        </w:rPr>
        <w:t>»,</w:t>
      </w:r>
      <w:r w:rsidR="00852420" w:rsidRPr="00F118BB">
        <w:rPr>
          <w:sz w:val="28"/>
          <w:szCs w:val="28"/>
        </w:rPr>
        <w:t xml:space="preserve"> ООО «ПРЕОРА»</w:t>
      </w:r>
      <w:r w:rsidR="00852420">
        <w:rPr>
          <w:sz w:val="28"/>
          <w:szCs w:val="28"/>
        </w:rPr>
        <w:t xml:space="preserve">, </w:t>
      </w:r>
      <w:r w:rsidR="00852420" w:rsidRPr="00F118BB">
        <w:rPr>
          <w:sz w:val="28"/>
          <w:szCs w:val="28"/>
        </w:rPr>
        <w:t>ФГУП «УЭМЗ»</w:t>
      </w:r>
      <w:r w:rsidR="00852420">
        <w:rPr>
          <w:sz w:val="28"/>
          <w:szCs w:val="28"/>
        </w:rPr>
        <w:t xml:space="preserve"> и ОАО ПМСП «Электрон» </w:t>
      </w:r>
      <w:r w:rsidRPr="00A35D94">
        <w:rPr>
          <w:rFonts w:eastAsia="Times New Roman"/>
          <w:sz w:val="28"/>
          <w:szCs w:val="28"/>
        </w:rPr>
        <w:t>приняты к рассмотрению.</w:t>
      </w:r>
    </w:p>
    <w:p w:rsidR="004C16A3" w:rsidRDefault="004C16A3" w:rsidP="004C16A3">
      <w:pPr>
        <w:pStyle w:val="af4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062"/>
        <w:gridCol w:w="5063"/>
      </w:tblGrid>
      <w:tr w:rsidR="004C16A3" w:rsidRPr="00ED5C72" w:rsidTr="004C16A3">
        <w:trPr>
          <w:trHeight w:val="101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6A3" w:rsidRPr="00ED5C72" w:rsidRDefault="004C16A3" w:rsidP="004C16A3">
            <w:pPr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  <w:u w:val="none"/>
              </w:rPr>
            </w:pPr>
            <w:r w:rsidRPr="00ED5C7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6A3" w:rsidRPr="00ED5C72" w:rsidRDefault="004C16A3" w:rsidP="004C16A3">
            <w:pPr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  <w:u w:val="none"/>
              </w:rPr>
            </w:pPr>
            <w:hyperlink r:id="rId10" w:history="1">
              <w:r w:rsidRPr="00ED5C7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Подпись</w:t>
              </w:r>
            </w:hyperlink>
          </w:p>
        </w:tc>
      </w:tr>
      <w:tr w:rsidR="004C16A3" w:rsidRPr="00ED5C72" w:rsidTr="004C16A3">
        <w:trPr>
          <w:trHeight w:val="1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6A3" w:rsidRPr="00ED5C72" w:rsidRDefault="004C16A3" w:rsidP="004C16A3">
            <w:pPr>
              <w:suppressAutoHyphens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C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Секретарь Закупочной комиссии:</w:t>
            </w:r>
          </w:p>
        </w:tc>
      </w:tr>
      <w:tr w:rsidR="004C16A3" w:rsidRPr="004C16A3" w:rsidTr="004C16A3">
        <w:trPr>
          <w:trHeight w:val="51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16A3" w:rsidRPr="004C16A3" w:rsidRDefault="004C16A3" w:rsidP="004C16A3">
            <w:pPr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 w:rsidRPr="004C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Людмила Маулитзяновна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16A3" w:rsidRPr="004C16A3" w:rsidRDefault="004C16A3" w:rsidP="004C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6A3" w:rsidRPr="00A31911" w:rsidRDefault="004C16A3" w:rsidP="004C16A3">
      <w:pPr>
        <w:pStyle w:val="af4"/>
        <w:spacing w:before="0" w:beforeAutospacing="0" w:after="0" w:afterAutospacing="0"/>
        <w:jc w:val="both"/>
        <w:rPr>
          <w:rFonts w:eastAsia="Times New Roman"/>
          <w:b/>
          <w:bCs/>
          <w:color w:val="000000"/>
          <w:spacing w:val="-1"/>
          <w:sz w:val="28"/>
        </w:rPr>
      </w:pPr>
    </w:p>
    <w:p w:rsidR="004C16A3" w:rsidRPr="00DE7DD3" w:rsidRDefault="004C16A3" w:rsidP="004C16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852420" w:rsidRDefault="00852420" w:rsidP="004C16A3">
      <w:pPr>
        <w:pStyle w:val="af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852420" w:rsidRPr="00A35D94" w:rsidRDefault="00852420" w:rsidP="004C16A3">
      <w:pPr>
        <w:pStyle w:val="af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sectPr w:rsidR="00852420" w:rsidRPr="00A35D94">
      <w:footerReference w:type="default" r:id="rId11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84" w:rsidRDefault="00345884">
      <w:pPr>
        <w:spacing w:after="0" w:line="240" w:lineRule="auto"/>
      </w:pPr>
      <w:r>
        <w:separator/>
      </w:r>
    </w:p>
  </w:endnote>
  <w:endnote w:type="continuationSeparator" w:id="0">
    <w:p w:rsidR="00345884" w:rsidRDefault="0034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5884">
    <w:pPr>
      <w:pStyle w:val="ab"/>
      <w:spacing w:after="0"/>
      <w:jc w:val="center"/>
      <w:outlineLvl w:val="0"/>
      <w:rPr>
        <w:sz w:val="16"/>
        <w:szCs w:val="16"/>
      </w:rPr>
    </w:pPr>
    <w:r>
      <w:rPr>
        <w:sz w:val="16"/>
        <w:szCs w:val="16"/>
      </w:rPr>
      <w:t>Протокол № 7284/248 К2-1-15-1</w:t>
    </w:r>
  </w:p>
  <w:p w:rsidR="00000000" w:rsidRDefault="00345884">
    <w:pPr>
      <w:pStyle w:val="a9"/>
      <w:jc w:val="center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 xml:space="preserve">открытия </w:t>
    </w:r>
    <w:r w:rsidR="00A35D94">
      <w:rPr>
        <w:rFonts w:ascii="Times New Roman" w:hAnsi="Times New Roman" w:cs="Times New Roman"/>
        <w:bCs/>
        <w:sz w:val="16"/>
        <w:szCs w:val="16"/>
      </w:rPr>
      <w:t xml:space="preserve">доступа </w:t>
    </w:r>
    <w:proofErr w:type="gramStart"/>
    <w:r w:rsidR="00A35D94">
      <w:rPr>
        <w:rFonts w:ascii="Times New Roman" w:hAnsi="Times New Roman" w:cs="Times New Roman"/>
        <w:bCs/>
        <w:sz w:val="16"/>
        <w:szCs w:val="16"/>
      </w:rPr>
      <w:t>к заявкам на участие в о</w:t>
    </w:r>
    <w:r>
      <w:rPr>
        <w:rFonts w:ascii="Times New Roman" w:hAnsi="Times New Roman" w:cs="Times New Roman"/>
        <w:bCs/>
        <w:sz w:val="16"/>
        <w:szCs w:val="16"/>
      </w:rPr>
      <w:t>ткрытом конкурсе на право заключения договора на право</w:t>
    </w:r>
    <w:proofErr w:type="gramEnd"/>
    <w:r>
      <w:rPr>
        <w:rFonts w:ascii="Times New Roman" w:hAnsi="Times New Roman" w:cs="Times New Roman"/>
        <w:bCs/>
        <w:sz w:val="16"/>
        <w:szCs w:val="16"/>
      </w:rPr>
      <w:t xml:space="preserve"> заключения до</w:t>
    </w:r>
    <w:r>
      <w:rPr>
        <w:rFonts w:ascii="Times New Roman" w:hAnsi="Times New Roman" w:cs="Times New Roman"/>
        <w:bCs/>
        <w:sz w:val="16"/>
        <w:szCs w:val="16"/>
      </w:rPr>
      <w:t>говора на поставку по лоту №7284/248 К2-1-15 «Поставка ЩСН для ПС 330/10 кВ для сооружения энергоблока №1 Курской АЭС-2»</w:t>
    </w:r>
  </w:p>
  <w:p w:rsidR="00000000" w:rsidRDefault="00345884">
    <w:pPr>
      <w:pStyle w:val="a9"/>
      <w:jc w:val="center"/>
      <w:rPr>
        <w:rFonts w:ascii="Times New Roman" w:eastAsia="Times New Roman" w:hAnsi="Times New Roman" w:cs="Times New Roman"/>
        <w:sz w:val="16"/>
        <w:szCs w:val="16"/>
        <w:lang w:eastAsia="ru-RU"/>
      </w:rPr>
    </w:pPr>
    <w:sdt>
      <w:sdtPr>
        <w:rPr>
          <w:rFonts w:ascii="Times New Roman" w:eastAsia="Times New Roman" w:hAnsi="Times New Roman" w:cs="Times New Roman"/>
          <w:sz w:val="16"/>
          <w:szCs w:val="16"/>
          <w:lang w:eastAsia="ru-RU"/>
        </w:rPr>
        <w:id w:val="43076246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Страница </w:t>
        </w:r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instrText>PAGE</w:instrText>
        </w:r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fldChar w:fldCharType="separate"/>
        </w:r>
        <w:r w:rsidR="008E396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fldChar w:fldCharType="end"/>
        </w:r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из </w:t>
        </w:r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instrText>NUMPAGES</w:instrText>
        </w:r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fldChar w:fldCharType="separate"/>
        </w:r>
        <w:r w:rsidR="008E396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3</w:t>
        </w:r>
        <w:r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84" w:rsidRDefault="00345884">
      <w:pPr>
        <w:spacing w:after="0" w:line="240" w:lineRule="auto"/>
      </w:pPr>
      <w:r>
        <w:separator/>
      </w:r>
    </w:p>
  </w:footnote>
  <w:footnote w:type="continuationSeparator" w:id="0">
    <w:p w:rsidR="00345884" w:rsidRDefault="0034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2F15"/>
    <w:multiLevelType w:val="multilevel"/>
    <w:tmpl w:val="03BA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627CB"/>
    <w:rsid w:val="00115364"/>
    <w:rsid w:val="00345884"/>
    <w:rsid w:val="00472DF3"/>
    <w:rsid w:val="00487BE7"/>
    <w:rsid w:val="004C16A3"/>
    <w:rsid w:val="00852420"/>
    <w:rsid w:val="008E3968"/>
    <w:rsid w:val="00A35D94"/>
    <w:rsid w:val="00B958DC"/>
    <w:rsid w:val="00EF5C9F"/>
    <w:rsid w:val="00F118BB"/>
    <w:rsid w:val="00F6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rFonts w:ascii="Times New Roman" w:eastAsia="Times New Roman" w:hAnsi="Times New Roman" w:cs="Times New Roman" w:hint="default"/>
      <w:lang w:eastAsia="ru-RU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eastAsia="Times New Roman" w:hAnsi="Times New Roman" w:cs="Times New Roman" w:hint="default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af2">
    <w:name w:val="* С выравниванием по левому краю"/>
    <w:uiPriority w:val="99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upki.rosat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ECF7-D6CA-44A4-AC3A-A1FE859C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8754</cp:lastModifiedBy>
  <cp:revision>5</cp:revision>
  <cp:lastPrinted>2015-05-26T08:22:00Z</cp:lastPrinted>
  <dcterms:created xsi:type="dcterms:W3CDTF">2015-05-26T07:01:00Z</dcterms:created>
  <dcterms:modified xsi:type="dcterms:W3CDTF">2015-05-26T08:26:00Z</dcterms:modified>
</cp:coreProperties>
</file>