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p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0"/>
      <w:bookmarkEnd w:id="1"/>
      <w:bookmarkEnd w:id="2"/>
      <w:bookmarkEnd w:id="3"/>
      <w:bookmarkEnd w:id="4"/>
      <w:bookmarkEnd w:id="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>
        <w:trPr>
          <w:cantSplit/>
          <w:tblHeader/>
        </w:trPr>
        <w:tc>
          <w:tcPr>
            <w:tcW w:w="500" w:type="dxa"/>
          </w:tcPr>
          <w:p>
            <w:pPr>
              <w:pStyle w:val="a5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(Оборудования)</w:t>
            </w:r>
          </w:p>
          <w:p>
            <w:pPr>
              <w:pStyle w:val="a5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>
            <w:pPr>
              <w:pStyle w:val="a5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>
            <w:pPr>
              <w:pStyle w:val="a5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>
            <w:pPr>
              <w:pStyle w:val="a5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>
            <w:pPr>
              <w:pStyle w:val="a5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>
        <w:trPr>
          <w:cantSplit/>
        </w:trPr>
        <w:tc>
          <w:tcPr>
            <w:tcW w:w="500" w:type="dxa"/>
          </w:tcPr>
          <w:p>
            <w:pPr>
              <w:pStyle w:val="a6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>
            <w:pPr>
              <w:pStyle w:val="a6"/>
              <w:rPr>
                <w:sz w:val="24"/>
                <w:szCs w:val="24"/>
                <w:lang w:val="en-US"/>
              </w:rPr>
            </w:pPr>
          </w:p>
        </w:tc>
        <w:tc>
          <w:tcPr>
            <w:tcW w:w="175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  <w:tr>
        <w:trPr>
          <w:cantSplit/>
        </w:trPr>
        <w:tc>
          <w:tcPr>
            <w:tcW w:w="2992" w:type="dxa"/>
            <w:gridSpan w:val="2"/>
          </w:tcPr>
          <w:p>
            <w:pPr>
              <w:pStyle w:val="a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>
            <w:pPr>
              <w:pStyle w:val="a6"/>
              <w:rPr>
                <w:b/>
                <w:sz w:val="24"/>
                <w:szCs w:val="24"/>
              </w:rPr>
            </w:pPr>
          </w:p>
        </w:tc>
      </w:tr>
    </w:tbl>
    <w:p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>
      <w:pPr>
        <w:pStyle w:val="-"/>
        <w:numPr>
          <w:ilvl w:val="0"/>
          <w:numId w:val="2"/>
        </w:numPr>
        <w:outlineLvl w:val="1"/>
      </w:pPr>
      <w:bookmarkStart w:id="7" w:name="_Toc213679217"/>
      <w:bookmarkStart w:id="8" w:name="_Toc213679139"/>
      <w:bookmarkStart w:id="9" w:name="_Toc213335136"/>
      <w:bookmarkStart w:id="10" w:name="_Toc168159786"/>
      <w:bookmarkStart w:id="11" w:name="_Toc168144800"/>
      <w:bookmarkStart w:id="12" w:name="_Toc157679457"/>
      <w:r>
        <w:t>Специальные условия гарантийного обслуживания</w:t>
      </w:r>
      <w:bookmarkEnd w:id="7"/>
      <w:bookmarkEnd w:id="8"/>
      <w:bookmarkEnd w:id="9"/>
      <w:bookmarkEnd w:id="10"/>
      <w:bookmarkEnd w:id="11"/>
      <w:bookmarkEnd w:id="12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</w:t>
      </w:r>
      <w:r>
        <w:rPr>
          <w:rStyle w:val="a7"/>
          <w:rFonts w:ascii="Times New Roman" w:hAnsi="Times New Roman"/>
          <w:sz w:val="24"/>
          <w:szCs w:val="24"/>
        </w:rPr>
        <w:t>В случае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,</w:t>
      </w:r>
      <w:proofErr w:type="gramEnd"/>
      <w:r>
        <w:rPr>
          <w:rStyle w:val="a7"/>
          <w:rFonts w:ascii="Times New Roman" w:hAnsi="Times New Roman"/>
          <w:sz w:val="24"/>
          <w:szCs w:val="24"/>
        </w:rPr>
        <w:t xml:space="preserve"> если для поставляемого Товара (Оборудования) предусматриваются специальные условия гарантийного обслуживания. </w:t>
      </w:r>
      <w:proofErr w:type="gramStart"/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  <w:proofErr w:type="gramEnd"/>
    </w:p>
    <w:p>
      <w:pPr>
        <w:pStyle w:val="-"/>
        <w:numPr>
          <w:ilvl w:val="0"/>
          <w:numId w:val="2"/>
        </w:numPr>
        <w:outlineLvl w:val="1"/>
        <w:rPr>
          <w:color w:val="FF0000"/>
        </w:rPr>
      </w:pPr>
      <w:r>
        <w:rPr>
          <w:color w:val="FF0000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>
        <w:tc>
          <w:tcPr>
            <w:tcW w:w="1985" w:type="dxa"/>
          </w:tcPr>
          <w:p>
            <w:pPr>
              <w:pStyle w:val="a8"/>
              <w:ind w:left="34"/>
            </w:pPr>
            <w:r>
              <w:t>Плательщик НДПИ</w:t>
            </w: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с/х налога</w:t>
            </w: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ЕНВД</w:t>
            </w: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  <w:r>
              <w:t>Плательщик налога по ставке 0%</w:t>
            </w:r>
          </w:p>
        </w:tc>
      </w:tr>
      <w:tr>
        <w:tc>
          <w:tcPr>
            <w:tcW w:w="1985" w:type="dxa"/>
          </w:tcPr>
          <w:p>
            <w:pPr>
              <w:pStyle w:val="a8"/>
            </w:pPr>
          </w:p>
        </w:tc>
        <w:tc>
          <w:tcPr>
            <w:tcW w:w="2410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>
            <w:pPr>
              <w:pStyle w:val="-0"/>
              <w:numPr>
                <w:ilvl w:val="0"/>
                <w:numId w:val="0"/>
              </w:numPr>
            </w:pPr>
          </w:p>
        </w:tc>
      </w:tr>
    </w:tbl>
    <w:p>
      <w:pPr>
        <w:pStyle w:val="-0"/>
        <w:numPr>
          <w:ilvl w:val="0"/>
          <w:numId w:val="0"/>
        </w:numPr>
        <w:ind w:left="1391"/>
      </w:pPr>
    </w:p>
    <w:p>
      <w:pPr>
        <w:pStyle w:val="-"/>
        <w:numPr>
          <w:ilvl w:val="0"/>
          <w:numId w:val="2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 даты заключения Договора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5"/>
              <w:rPr>
                <w:b/>
                <w:sz w:val="24"/>
                <w:szCs w:val="24"/>
              </w:rPr>
            </w:pPr>
          </w:p>
          <w:p>
            <w:pPr>
              <w:pStyle w:val="a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ind w:left="0"/>
              <w:jc w:val="center"/>
              <w:rPr>
                <w:sz w:val="24"/>
                <w:szCs w:val="24"/>
              </w:rPr>
            </w:pPr>
          </w:p>
          <w:p>
            <w:pPr>
              <w:pStyle w:val="a6"/>
              <w:ind w:left="0"/>
              <w:rPr>
                <w:sz w:val="24"/>
                <w:szCs w:val="24"/>
              </w:rPr>
            </w:pPr>
          </w:p>
          <w:p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6"/>
              <w:rPr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13" w:name="_Toc154041528"/>
      <w:bookmarkStart w:id="14" w:name="_Toc154059250"/>
      <w:bookmarkStart w:id="15" w:name="_Toc157679459"/>
      <w:bookmarkStart w:id="16" w:name="_Toc168144802"/>
      <w:bookmarkStart w:id="17" w:name="_Toc168159788"/>
      <w:bookmarkStart w:id="18" w:name="_Toc213335138"/>
      <w:bookmarkStart w:id="19" w:name="_Toc213679141"/>
      <w:bookmarkStart w:id="20" w:name="_Toc213679219"/>
      <w:r>
        <w:rPr>
          <w:caps w:val="0"/>
          <w:sz w:val="28"/>
          <w:szCs w:val="28"/>
        </w:rPr>
        <w:t>приложение №2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7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8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8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9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21" w:name="_Toc213679220"/>
      <w:bookmarkStart w:id="22" w:name="_Toc213679142"/>
      <w:bookmarkStart w:id="23" w:name="_Toc213335139"/>
      <w:bookmarkStart w:id="24" w:name="_Toc168159798"/>
      <w:bookmarkStart w:id="25" w:name="_Toc168144812"/>
      <w:bookmarkStart w:id="26" w:name="_Toc157679469"/>
      <w:r>
        <w:rPr>
          <w:caps w:val="0"/>
        </w:rPr>
        <w:t>АКТ ПРИЕМА-ПЕРЕДАЧИ ТОВАРА (ОБОРУДОВАНИЯ</w:t>
      </w:r>
      <w:bookmarkEnd w:id="21"/>
      <w:bookmarkEnd w:id="22"/>
      <w:bookmarkEnd w:id="23"/>
      <w:bookmarkEnd w:id="24"/>
      <w:bookmarkEnd w:id="25"/>
      <w:bookmarkEnd w:id="26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поставил, а Покупатель принял следующий Товар (Оборудование) согласно Спецификации (Приложение №1 к Договору):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описание Товара (Оборудования</w:t>
      </w:r>
      <w:r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поставленного Товара (Оборудования) составляет:</w:t>
      </w:r>
    </w:p>
    <w:p>
      <w:pPr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_______________________________________(</w:t>
      </w:r>
      <w:r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Товар (Оборудование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proofErr w:type="gramEnd"/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поставку Товара (Оборудования):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_____________________________________________(</w:t>
      </w:r>
      <w:r>
        <w:rPr>
          <w:rFonts w:ascii="Times New Roman" w:hAnsi="Times New Roman" w:cs="Times New Roman"/>
          <w:i/>
          <w:sz w:val="24"/>
          <w:szCs w:val="24"/>
        </w:rPr>
        <w:t>перечислить  документы</w:t>
      </w:r>
      <w:r>
        <w:rPr>
          <w:rFonts w:ascii="Times New Roman" w:hAnsi="Times New Roman" w:cs="Times New Roman"/>
          <w:sz w:val="24"/>
          <w:szCs w:val="24"/>
        </w:rPr>
        <w:t>)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Настоящим подтверждаем, что </w:t>
      </w:r>
      <w:r>
        <w:rPr>
          <w:rFonts w:ascii="Times New Roman" w:hAnsi="Times New Roman" w:cs="Times New Roman"/>
          <w:i/>
        </w:rPr>
        <w:t>Поставщик</w:t>
      </w:r>
      <w:r>
        <w:rPr>
          <w:rFonts w:ascii="Times New Roman" w:hAnsi="Times New Roman" w:cs="Times New Roman"/>
        </w:rPr>
        <w:t xml:space="preserve"> ____________в соответствии с законодательством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rPr>
          <w:rFonts w:ascii="Times New Roman" w:hAnsi="Times New Roman" w:cs="Times New Roman"/>
        </w:rPr>
        <w:t xml:space="preserve">критериями, позволяющими относить организацию к субъектам </w:t>
      </w:r>
      <w:r>
        <w:rPr>
          <w:rFonts w:ascii="Times New Roman" w:hAnsi="Times New Roman" w:cs="Times New Roman"/>
          <w:i/>
          <w:u w:val="single"/>
        </w:rPr>
        <w:t>указывается</w:t>
      </w:r>
      <w:proofErr w:type="gramEnd"/>
      <w:r>
        <w:rPr>
          <w:rFonts w:ascii="Times New Roman" w:hAnsi="Times New Roman" w:cs="Times New Roman"/>
          <w:i/>
          <w:u w:val="single"/>
        </w:rPr>
        <w:t xml:space="preserve"> малого или среднего, в зависимости от критериев отнесения </w:t>
      </w:r>
      <w:r>
        <w:rPr>
          <w:rFonts w:ascii="Times New Roman" w:hAnsi="Times New Roman" w:cs="Times New Roman"/>
        </w:rPr>
        <w:t>предпринимательства, и сообщаем следующую информацию:</w:t>
      </w:r>
    </w:p>
    <w:p>
      <w:pPr>
        <w:spacing w:before="20" w:after="20"/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Критерий отнесения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Приложенный подтверждающий документ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395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2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Суммарная доля для участия в уставном капитале: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только для юридических лиц:</w:t>
            </w:r>
          </w:p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395" w:type="dxa"/>
          </w:tcPr>
          <w:p>
            <w:pPr>
              <w:spacing w:before="20" w:after="2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процентах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устава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количество человек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формы 4 ФСС</w:t>
            </w:r>
          </w:p>
        </w:tc>
      </w:tr>
      <w:tr>
        <w:tc>
          <w:tcPr>
            <w:tcW w:w="664" w:type="dxa"/>
          </w:tcPr>
          <w:p>
            <w:pPr>
              <w:spacing w:before="20" w:after="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0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2395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Указывается в миллионах рублей</w:t>
            </w:r>
          </w:p>
        </w:tc>
        <w:tc>
          <w:tcPr>
            <w:tcW w:w="2432" w:type="dxa"/>
          </w:tcPr>
          <w:p>
            <w:pPr>
              <w:spacing w:before="20" w:after="2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Копия баланса за предшествующий календарный год</w:t>
            </w:r>
          </w:p>
        </w:tc>
      </w:tr>
    </w:tbl>
    <w:p>
      <w:pPr>
        <w:spacing w:before="20" w:after="20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Поставщика: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 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>
      <w:pPr>
        <w:spacing w:before="20" w:after="20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«___»______________201__г.</w:t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3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customStyle="1" w:styleId="a5">
    <w:name w:val="Таблица шапка"/>
    <w:basedOn w:val="a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6">
    <w:name w:val="Таблица текст"/>
    <w:basedOn w:val="a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комментарий"/>
    <w:basedOn w:val="a0"/>
    <w:uiPriority w:val="99"/>
    <w:semiHidden/>
    <w:rPr>
      <w:rFonts w:cs="Times New Roman"/>
      <w:i/>
      <w:u w:val="single"/>
      <w:shd w:val="clear" w:color="auto" w:fill="FFFF99"/>
    </w:rPr>
  </w:style>
  <w:style w:type="paragraph" w:styleId="a8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uiPriority w:val="9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9">
    <w:name w:val="Пункт б/н"/>
    <w:basedOn w:val="a"/>
    <w:uiPriority w:val="99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Balloon Text"/>
    <w:basedOn w:val="a"/>
    <w:link w:val="ab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7F849C5-355E-45B5-92F3-A42592922DE3}">
  <ds:schemaRefs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5324C91-88C0-44A2-84F0-D05FC3C74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E8EF99-84A7-42CB-94C7-1EF15B6DFD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1160</Words>
  <Characters>6617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2015-06-22T12:06:00Z</dcterms:created>
  <dcterms:modified xsi:type="dcterms:W3CDTF">2015-06-22T12:06:00Z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