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03" w:rsidRPr="001D676A" w:rsidRDefault="003D2103" w:rsidP="003D2103">
      <w:pPr>
        <w:keepNext/>
        <w:keepLines/>
        <w:spacing w:line="216" w:lineRule="auto"/>
        <w:jc w:val="center"/>
        <w:outlineLvl w:val="0"/>
        <w:rPr>
          <w:rFonts w:ascii="Times New Roman" w:hAnsi="Times New Roman"/>
          <w:b/>
          <w:szCs w:val="24"/>
        </w:rPr>
      </w:pPr>
      <w:r w:rsidRPr="001D676A">
        <w:rPr>
          <w:rFonts w:ascii="Times New Roman" w:hAnsi="Times New Roman"/>
          <w:b/>
          <w:szCs w:val="24"/>
        </w:rPr>
        <w:t>«ТЕХНИЧЕСКАЯ ЧАСТЬ»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на выполнение работ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 xml:space="preserve">Предмет закупки – </w:t>
      </w:r>
      <w:r w:rsidRPr="001D676A">
        <w:rPr>
          <w:rFonts w:ascii="Times New Roman" w:hAnsi="Times New Roman"/>
          <w:szCs w:val="24"/>
          <w:lang w:eastAsia="ru-RU"/>
        </w:rPr>
        <w:t>выполнение работ по оформлению технической документации и правоустанавливающих документов на объекты</w:t>
      </w:r>
      <w:r w:rsidRPr="001D676A">
        <w:rPr>
          <w:rFonts w:ascii="Times New Roman" w:hAnsi="Times New Roman"/>
          <w:szCs w:val="24"/>
          <w:lang w:eastAsia="ru-RU"/>
        </w:rPr>
        <w:br/>
        <w:t xml:space="preserve">недвижимого имущества 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2014</w:t>
      </w:r>
      <w:r w:rsidRPr="001D676A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1D676A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 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 xml:space="preserve"> на выполнение работ 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</w:t>
      </w: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2.1 Описание выполняемых работ</w:t>
      </w:r>
    </w:p>
    <w:p w:rsidR="003D2103" w:rsidRPr="001D676A" w:rsidRDefault="003D2103" w:rsidP="003D2103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2.2 Объем выполняемых работ</w:t>
      </w: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выполняемых работ</w:t>
      </w:r>
    </w:p>
    <w:p w:rsidR="003D2103" w:rsidRPr="001D676A" w:rsidRDefault="003D2103" w:rsidP="003D2103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выполняемых работ</w:t>
      </w:r>
    </w:p>
    <w:p w:rsidR="003D2103" w:rsidRPr="001D676A" w:rsidRDefault="003D2103" w:rsidP="003D2103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3.4 Требования к составу технического предложения участника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3.5 Специальные требования</w:t>
      </w: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4. РЕЗУЛЬТАТ ВЫПОЛНЕННЫХ РАБОТ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выполненных работ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работ</w:t>
      </w:r>
    </w:p>
    <w:p w:rsidR="003D2103" w:rsidRPr="001D676A" w:rsidRDefault="003D2103" w:rsidP="003D210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3D2103" w:rsidRPr="001D676A" w:rsidRDefault="003D2103" w:rsidP="003D210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5. ПЕРЕЧЕНЬ ПРИНЯТЫХ СОКРАЩЕНИЙ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i/>
          <w:color w:val="000000"/>
          <w:szCs w:val="24"/>
          <w:lang w:eastAsia="ru-RU"/>
        </w:rPr>
        <w:br w:type="page"/>
      </w:r>
      <w:r w:rsidRPr="001D676A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</w:t>
      </w:r>
    </w:p>
    <w:tbl>
      <w:tblPr>
        <w:tblW w:w="1006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D2103" w:rsidRPr="001D676A" w:rsidTr="00F22292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Выполнение работ по оформлению технической документации и правоустанавливающих документов на объекты недвижимого имущества.</w:t>
            </w:r>
          </w:p>
        </w:tc>
      </w:tr>
    </w:tbl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2. ОПИСАНИЕ РАБОТ</w:t>
      </w: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3D2103" w:rsidRPr="001D676A" w:rsidTr="00F22292">
        <w:trPr>
          <w:trHeight w:val="430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Описание выполняемых работ</w:t>
            </w:r>
          </w:p>
        </w:tc>
      </w:tr>
      <w:tr w:rsidR="003D2103" w:rsidRPr="001D676A" w:rsidTr="00F22292">
        <w:trPr>
          <w:trHeight w:val="542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Работы по оформлению технической документации и правоустанавливающих документов на объекты недвижимого имущества включают в себя: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1. Для вновь построенных объектов недвижимого имущества: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проведение экспертизы имеющейся у Заказчика проектной и строительной документации;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предварительное натурное обследование объектов и выполнение кадастровых работ;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оформление технического плана на каждый объект;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представление в Федеральную службу государственной регистрации, кадастра и картографии комплекта документов для постановки объектов на государственный кадастровый учет, контроль прохождения документов, устранение замечаний (при необходимости), получение кадастрового паспорта.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2. Для объектов недвижимого имущества с изменившимися техническими характеристиками (после перепланировки или реконструкции):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проведение экспертизы имеющейся у Заказчика проектной и строительной документации (при наличии);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предварительное натурное обследование объектов, проведение технической инвентаризации объектов в целях отражения в технической документации действительных характеристик, выполнение кадастровых работ;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оформление технического паспорта и технического плана на каждый объект;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представление в Федеральную службу государственной регистрации, кадастра и картографии комплекта документов для внесения актуальных технических характеристик объекта недвижимости (после реконструкции) в государственный кадастр недвижимости, контроль прохождения документов, устранение замечаний (при необходимости), получение кадастрового паспорта.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3. Для объектов недвижимого имущества, выявленных по итогам инвентаризации: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проведение экспертизы имеющейся у Заказчика проектной и строительной документации (при наличии);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предварительное натурное обследование объектов, проведение технической инвентаризации объектов, выполнение кадастровых работ;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оформление технического паспорта и технического плана на каждый объект;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представление в Федеральную службу государственной регистрации, кадастра и картографии комплекта документов для постановки объектов на государственный кадастровый учет, контроль прохождения документов, устранение замечаний (при необходимости), получение кадастрового паспорта.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представление в Территориальное управление Росимущества в Калужской области комплекта документов, включая карту сведений об объекте учета № 1.2, для внесения сведений в реестр федерального имущества, контроль прохождения документов, устранение замечаний (при необходимости), получение выписки из реестра федерального имущества;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подготовку и представление в Федеральную службу государственной регистрации, кадастра и картографии комплекта документов для государственной регистрации прав собственности Российской Федерации на объекты, контроль прохождения документов,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устранение замечаний государственного регистратора (при необходимости), получение свидетельства о государственной регистрации прав собственности Российской Федерации;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подготовку и представление в Госкорпорацию «Росатом» и Территориальное управление Росимущества в Калужской области комплектов документов, необходимых  для издания Территориальным управлением Росимущества в Калужской области распоряжения о закреплении объектов за ФГУП «ГНЦ РФ – ФЭИ» на праве хозяйственного ведения, контроль прохождения документов, устранение замечаний (при необходимости), получение распоряжения;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подготовку и представление в Федеральную службу государственной регистрации, кадастра и картографии комплекта документов для государственной регистрации права хозяйственного ведения ФГУП «ГНЦ РФ – ФЭИ», контроль прохождения документов, устранение замечаний государственного регистратора (при необходимости), получение свидетельства о государственной регистрации права хозяйственного ведения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ФГУП «ГНЦ РФ – ФЭИ».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4. Для объектов, имеющих признаки некапитальных строений, выявленных при инвентаризации: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проведение экспертизы имеющейся у Заказчика документации на объекты (при наличии);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предварительное натурное обследование объектов;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подготовку и оформление заключения кадастрового инженера об отнесении находящихся в пользовании ФГУП «ГНЦ РФ – ФЭИ» строений и сооружений, не являющихся объектами недвижимого имущества, к объектам некапитального строительства </w:t>
            </w:r>
            <w:r w:rsidRPr="001D676A">
              <w:rPr>
                <w:rFonts w:ascii="Times New Roman" w:hAnsi="Times New Roman"/>
                <w:b/>
                <w:szCs w:val="24"/>
                <w:lang w:eastAsia="ru-RU"/>
              </w:rPr>
              <w:t>(с обязательным описанием текущего состояния объекта, его основных технических характеристик, индивидуальных особенностей, позволяющих однозначно идентифицировать объект на местности)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3D2103" w:rsidRPr="001D676A" w:rsidRDefault="003D2103" w:rsidP="00F2229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u w:val="single"/>
                <w:lang w:eastAsia="ru-RU"/>
              </w:rPr>
              <w:t>Примечание: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 в случае отсутствия у Заказчика проектной или иной необходимой для выполнения указанных выше работ документации, Исполнитель самостоятельно и за свой счет осуществляет взаимодействие с уполномоченными органами на предмет получения необходимых ему архивных копий, справок, заключений, разрешений и т.п. Также Исполнитель самостоятельно и за свой счет оформляет необходимые ему доверенности, оплачивает услуги по нотариальному заверению копий документов, государственные пошлины (за исключением пошлины за государственную регистрацию права хозяйственного ведения ФГУП «ГНЦ РФ – ФЭИ»), услуги экспертов (при необходимости или по требованию Заказчика).</w:t>
            </w:r>
          </w:p>
        </w:tc>
      </w:tr>
      <w:tr w:rsidR="003D2103" w:rsidRPr="001D676A" w:rsidTr="00F22292">
        <w:trPr>
          <w:trHeight w:val="38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2.2 Объем выполняемых работ</w:t>
            </w:r>
          </w:p>
        </w:tc>
      </w:tr>
      <w:tr w:rsidR="003D2103" w:rsidRPr="001D676A" w:rsidTr="00F22292">
        <w:trPr>
          <w:trHeight w:val="3283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Выполняемые работы проводятся в отношении следующих объектов недвижимого имущества: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1. Вновь построенные объекты недвижимого имущества: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Здание 306, проектной площадью 66,8 кв. м (надземная часть – 21,6 кв. м, подземная часть – 45,2 кв. м),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Наружные сети ВК, общей проектной протяженностью 335 п. м (включающее в себя самотечный трубопровод оборотного водоснабжения В-5 протяженностью 157 п. м, напорный трубопровод оборотного водоснабжения В-5Н протяженностью 150 п. м, трубопровод дренажных вод К-2 протяженностью 28 п. м),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Бетонная площадка для складирования материалов и оборудования, расположенное по адресу: Калужская область, г. Обнинск, пл. Бондаренко, 1 (ориентир: промплощадка №2 за зданием АЭС).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2. Объекты недвижимого имущества с изменившимися техническими характеристиками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(после перепланировки или реконструкции):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Одноэтажное нежилое здание (№ 161 Центр распределительных щитов), расположенное по адресу: Калужская область, г. Обнинск, пл. Бондаренко, д.1,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инв. № 000180, общая площадь (до реконструкции) – 595,1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Одноэтажное нежилое здание (№ 211 Трансформаторная подстанция), расположенное по адресу: Калужская область, г. Обнинск, пл. Бондаренко, д.1,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инв. № 000221, общая площадь (до реконструкции) – 731,2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Двухэтажное нежилое здание (№2 Коррозийная лаборатория), расположенное по адресу: Калужская область, г. Обнинск, пл. Бондаренко, д.1, инв. № 000170, общая площадь (до реконструкции) – 2 163,9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Четырехэтажное нежилое здание (№ 160 материаловедческий корпус), расположенное по адресу: Калужская область, г. Обнинск, пл. Бондаренко, д.1,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инв. № 000010, общая площадь (до реконструкции) – 11 922,6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Семиэтажное нежилое здание (№ 201 Б/В Теплофизический корпус №1 и Переходная галерея от ТФК-3 к ТФК-1),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пл. Бондаренко, д.1, инв. № 000015, общая площадь (до реконструкции) – 7 907,5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Кабельные сети 6 кВ, ПП1, ПП2, расположенное по адресу: Калужская область, г. Обнинск, пл. Бондаренко, д.1, инв. № 777027, протяженность (до реконструкции) – 23 388 п.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Четырехэтажное нежилое здание (№117 химводоочистки), расположенное по адресу: Калужская область, г. Обнинск, пл. Бондаренко, д.1, инв. № 000004, общая площадь (до изменения) – 3 320,7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Двухэтажное нежилое здание № 162 (бытовые помещения электроцеха ПП-1), расположенное по адресу: Калужская область, г. Обнинск, пл. Бондаренко, д.1,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инв. № 000099, общая площадь (до изменения) – 426,9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№ 149 Вентцентр,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 xml:space="preserve">г. Обнинск, пл. Бондаренко, д.1, инв. № 000156, общая площадь (до изменения) –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890,8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Нежилое здание (главный корпус), расположенное по адресу: Калужская область,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 xml:space="preserve">г. Обнинск, пл. Бондаренко, д.1, инв. № 000090, общая площадь (до изменения) –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7 650,0 кв. м;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3. Объекты недвижимого имущества, выявленные по итогам инвентаризации </w:t>
            </w:r>
            <w:r w:rsidRPr="001D676A">
              <w:rPr>
                <w:rFonts w:ascii="Times New Roman" w:hAnsi="Times New Roman"/>
                <w:b/>
                <w:szCs w:val="24"/>
                <w:lang w:eastAsia="ru-RU"/>
              </w:rPr>
              <w:t>(</w:t>
            </w:r>
            <w:r w:rsidRPr="001D676A">
              <w:rPr>
                <w:rFonts w:ascii="Times New Roman" w:hAnsi="Times New Roman"/>
                <w:b/>
                <w:szCs w:val="24"/>
                <w:u w:val="single"/>
                <w:lang w:eastAsia="ru-RU"/>
              </w:rPr>
              <w:t>проектная и/или строительная документация на объекты у Заказчика отсутствует</w:t>
            </w:r>
            <w:r w:rsidRPr="001D676A">
              <w:rPr>
                <w:rFonts w:ascii="Times New Roman" w:hAnsi="Times New Roman"/>
                <w:b/>
                <w:szCs w:val="24"/>
                <w:lang w:eastAsia="ru-RU"/>
              </w:rPr>
              <w:t>):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Здание Венткамера здания механических мастерских,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Склад КИЭС ГЛ, расположенное по адресу: Калужская область, г. Обнинск,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№ 117 В, расположенное по адресу: Калужская область, г. Обнинск,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Сооружение Емкость № 114,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Насосная здания №202,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Благоустройство территории профилактория, расположенное по адресу: Калужская область, г. Обнинск, Пионерский проезд, 23;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Проходная гаража 600,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г.Обнинск, Киевское шоссе, 23;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Насосная № 4,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район Плотины;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- Сооружение Бетонный павильон береговой насосной, расположенное по адресу: Калужская область, г. Обнинск, Пяткинский проезд, р.Протва;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Хлораторная, расположенное по адресу: Калужская область, г. Обнинск,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ул. Пирогова, 11;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Станция переключений,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ул. Пирогова, 11;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Гаражные боксы, расположенное по адресу: Калужская область, г. Обнинск,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ул. Пирогова, 11;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Здание Бытовое помещение,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район Плотины;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Здание Тир, расположенное по адресу: Калужская область, г. Обнинск, район Плотины;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Парники участка озеленения, расположенное по адресу: Калужская область, г. Обнинск, ул. Менделеева, 18;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Сооружение Резервуар 500,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ул. Пирогова, 11.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4. Объекты, имеющие признаки некапитальных строений, выявленные при инвентаризации </w:t>
            </w:r>
            <w:r w:rsidRPr="001D676A">
              <w:rPr>
                <w:rFonts w:ascii="Times New Roman" w:hAnsi="Times New Roman"/>
                <w:b/>
                <w:szCs w:val="24"/>
                <w:lang w:eastAsia="ru-RU"/>
              </w:rPr>
              <w:t>(</w:t>
            </w:r>
            <w:r w:rsidRPr="001D676A">
              <w:rPr>
                <w:rFonts w:ascii="Times New Roman" w:hAnsi="Times New Roman"/>
                <w:b/>
                <w:szCs w:val="24"/>
                <w:u w:val="single"/>
                <w:lang w:eastAsia="ru-RU"/>
              </w:rPr>
              <w:t>проектная и/или строительная документация на объекты у Заказчика отсутствует</w:t>
            </w:r>
            <w:r w:rsidRPr="001D676A">
              <w:rPr>
                <w:rFonts w:ascii="Times New Roman" w:hAnsi="Times New Roman"/>
                <w:b/>
                <w:szCs w:val="24"/>
                <w:lang w:eastAsia="ru-RU"/>
              </w:rPr>
              <w:t>):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Трансформаторная станция с ограждением здания ГК,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хозинвентаря здания ГК,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пристройка к корпусу Б здания № 155,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пристройка к зданию № 61,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емкость возле здания № 25,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инвентаря стендового городка,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досмотровый мост,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Склад оборудования здания № 221,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пристройка с вентиляционной трубой к зданию № 221,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емкость возле мазутохранилища,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Металлические баки мазутохранилища,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труба здания № 52,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Склад кислот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1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2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3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- Сооружение Металлический склад № 4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5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6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7 здания № 156,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Металлические склады КИЭС ГЛ,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здания моечной для спецмашин,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Металлические склады здания № 117,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ГСМ здания № 149,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здания № 166,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 Складское сооружение (металлический склад, навес, ограждение) здания № 109,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Сооружение Деревянный хозблок,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Металлическое ограждение «Ядерного острова»,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1 здания № 85,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№ 2 здания № 85,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пристройка к зданию стенда МТ,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Газораздаточный центр здания № 224,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здания № 129,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Трансформаторная подстанция - 49, ТР № 1,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Трансформаторная подстанция - 49, ТР № 2,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здания № 159,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баллонов с ограждением здания №85,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Металлические будки возле западной части здания ТЭЦ,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караула №1,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караула №2,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караула №3,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- Сооружение Металлическая будка для сжигания бумаг возле переходного моста,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склад баллонов здания № 25, расположенное по адресу: Калужская область, г. Обнинск, 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Сооружение Трансформаторная площадка стендового городка с металлическим ограждением и навесом, расположенное по адресу: Калужская область, г. Обнинск,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пл. Бондаренко, 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Мачты освещения гаража 600, расположенное по адресу: Калужская область, г. Обнинск, Киевское шоссе, 23;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здания ОРЭ, расположенное по адресу: Калужская область, г. Обнинск, пр. Ленина, 86;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Металлический ангар сервисного комплекса, расположенное по адресу: Калужская область, г. Обнинск, пр. Ленина, 129;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станция экологического мониторинга</w:t>
            </w: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t>профилактория, расположенное по адресу: Калужская область, г. Обнинск, Пионерский проезд, 23;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на внутренней территории войсковой части, расположенное по адресу: Калужская область, г. Обнинск, пр. Ленина, 23, 25;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Металлическая станция экологического мониторинга гаража 600, расположенное по адресу: Калужская область, г. Обнинск, Киевское шоссе, 23;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здания «Дом Курчатова», расположенное по адресу: Калужская область, г. Обнинск, ул. Менделеева, 16;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Теплица войсковой части, расположенное по адресу: Калужская область, г. Обнинск, пр. Ленина, 23,25;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питомника для собак, расположенное по адресу: Калужская область, г. Обнинск, район Плотины;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Сооружение Ограждение ГПП №6, расположенное по адресу: Калужская область,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г. Обнинск, ул. Кутузова, 189;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участка озеленения, расположенное по адресу: Калужская область, г. Обнинск, ул. Менделеева, 18;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здания № 177, расположенное по адресу: Калужская область, г. Обнинск, ул. Менделеева, 18;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гаража 600, расположенное по адресу: Калужская область, г. Обнинск, Киевское шоссе, 23;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береговой насосной, расположенное по адресу: Калужская область, г. Обнинск, Пяткинский проезд, р.Протва;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артезианской скважины № 3, расположенное по адресу: Калужская область, г. Обнинск, ул. Пирогова, 11;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Сооружение Ограждение артезианской скважины № 5, расположенное по адресу: Калужская область, г. Обнинск, ул. Кутузова, 186.</w:t>
            </w:r>
          </w:p>
        </w:tc>
      </w:tr>
    </w:tbl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3. ТРЕБОВАНИЯ К РАБОТАМ</w:t>
      </w: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left="34" w:firstLine="567"/>
              <w:contextualSpacing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Работы должны быть выполнены в соответствии с требованиями Федерального закона от 24.07.2007 № 221-ФЗ «О государственном кадастре недвижимости» и Федерального закона от 21.07.1997 № 122-ФЗ «О государственной регистрации прав на недвижимое имущество и сделок с ним».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качеству выполняемых работ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Подготовка и оформление документации на объекты недвижимого имущества должны быть выполнены:</w:t>
            </w:r>
          </w:p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- технического плана – в соответствии с требованиями Приказа Минэкономразвития России от 01.09.2010 № 403 «Об утверждении формы технического плана здания и требований к его подготовке» (для зданий) и Приказа Минэкономразвития России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от 23.11.2011 № 693 «Об утверждении формы технического плана сооружения и требований к его подготовке» (для линейных сооружений);</w:t>
            </w:r>
          </w:p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кадастрового паспорта – в соответствии с требованиями Приказа Минэкономразвития России от 28.12.2012 № 831 «Об утверждении форм кадастровых паспортов здания, сооружения, объекта незавершенного строительства, помещения, земельного участка, кадастровых выписок о земельном участке, о здании, сооружении, объекте незавершенного строительства и кадастрового плана территории». </w:t>
            </w:r>
          </w:p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1D676A">
              <w:rPr>
                <w:rFonts w:ascii="Times New Roman" w:hAnsi="Times New Roman"/>
                <w:szCs w:val="24"/>
                <w:lang w:val="en-US" w:eastAsia="ru-RU"/>
              </w:rPr>
              <w:t> 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t>карт сведений об объекте учета № 1.2 – в соответствии с П</w:t>
            </w:r>
            <w:r w:rsidRPr="001D676A">
              <w:rPr>
                <w:rFonts w:ascii="Times New Roman" w:eastAsia="Calibri" w:hAnsi="Times New Roman"/>
                <w:szCs w:val="24"/>
                <w:lang w:eastAsia="ru-RU"/>
              </w:rPr>
              <w:t xml:space="preserve">равилами заполнения форм реестра федерального имущества и записей об изменениях сведений об объекте учета и о прекращении права собственности Российской Федерации на имущество, утвержденными Постановлением Правительства Российской Федерации от 16.07.2007 </w:t>
            </w:r>
            <w:r w:rsidRPr="001D676A">
              <w:rPr>
                <w:rFonts w:ascii="Times New Roman" w:eastAsia="Calibri" w:hAnsi="Times New Roman"/>
                <w:szCs w:val="24"/>
                <w:lang w:eastAsia="ru-RU"/>
              </w:rPr>
              <w:br/>
              <w:t>№ 447 «О совершенствовании учета федерального имущества»;</w:t>
            </w:r>
          </w:p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1D676A">
              <w:rPr>
                <w:rFonts w:ascii="Times New Roman" w:eastAsia="Calibri" w:hAnsi="Times New Roman"/>
                <w:szCs w:val="24"/>
                <w:lang w:eastAsia="ru-RU"/>
              </w:rPr>
              <w:t>- выписок из реестра федерального имущества – в соответствии с требованиями Приказа Минэкономразвития России от 11.09.2007 № 306 «Об утверждении формы выписки из реестра федерального имущества»;</w:t>
            </w:r>
          </w:p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D676A">
              <w:rPr>
                <w:rFonts w:ascii="Times New Roman" w:eastAsia="Calibri" w:hAnsi="Times New Roman"/>
                <w:szCs w:val="24"/>
                <w:lang w:eastAsia="ru-RU"/>
              </w:rPr>
              <w:t>- свидетельств о государственной регистрации прав – в порядке, определенном  Постановлением Правительства Российской Федерации от 18.02.1998 №219 «Об утверждении правил ведения единого государственного реестра прав на недвижимое имущество и сделок с ним».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3.3 Требования к гарантийным обязательствам выполняемых работ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Требования, связанные с недостатками результата работ, могут быть предъявлены Исполнителю Заказчиком при условии, если они были обнаружены в течение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12 (Двенадцати) месяцев с момента приемки работ.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3.4 Требования к составу технического предложения участника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В соответствии с главой 4 Федерального закона от 24.07.2007 № 221-ФЗ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«О государственном кадастре недвижимости»</w:t>
            </w:r>
            <w:r w:rsidRPr="001D676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 xml:space="preserve"> участник закупки должен иметь:</w:t>
            </w:r>
          </w:p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Для индивидуальных предпринимателей:</w:t>
            </w:r>
          </w:p>
          <w:p w:rsidR="003D2103" w:rsidRPr="001D676A" w:rsidRDefault="003D2103" w:rsidP="003D2103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действующий квалификационный аттестат кадастрового инженера;</w:t>
            </w:r>
          </w:p>
          <w:p w:rsidR="003D2103" w:rsidRPr="001D676A" w:rsidRDefault="003D2103" w:rsidP="003D2103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выписку из государственного реестра кадастровых инженеров.</w:t>
            </w:r>
          </w:p>
          <w:p w:rsidR="003D2103" w:rsidRPr="001D676A" w:rsidRDefault="003D2103" w:rsidP="00F22292">
            <w:p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Для юридических лиц:</w:t>
            </w:r>
          </w:p>
          <w:p w:rsidR="003D2103" w:rsidRPr="001D676A" w:rsidRDefault="003D2103" w:rsidP="003D2103">
            <w:pPr>
              <w:numPr>
                <w:ilvl w:val="0"/>
                <w:numId w:val="2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документы, подтверждающие наличие в штате не менее двух кадастровых инженеров, которые вправе осуществлять кадастровую деятельность;</w:t>
            </w:r>
          </w:p>
          <w:p w:rsidR="003D2103" w:rsidRPr="001D676A" w:rsidRDefault="003D2103" w:rsidP="003D2103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действующий квалификационный аттестат на каждого кадастрового инженера;</w:t>
            </w:r>
          </w:p>
          <w:p w:rsidR="003D2103" w:rsidRPr="001D676A" w:rsidRDefault="003D2103" w:rsidP="003D2103">
            <w:pPr>
              <w:numPr>
                <w:ilvl w:val="0"/>
                <w:numId w:val="1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выписку из государственного реестра кадастровых инженеров на каждого кадастрового инженера.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3.5 Специальные требования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предъявляются.</w:t>
            </w:r>
          </w:p>
        </w:tc>
      </w:tr>
    </w:tbl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4. РЕЗУЛЬТАТ ВЫПОЛНЕННЫХ РАБОТ</w:t>
      </w: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выполненных работ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В результате выполненных работ по каждому объекту недвижимого имущества должны быть собраны и воспроизведены в документальном виде актуальные сведения и технические характеристики, необходимые для дальнейшего их кадастрового учета или внесения изменений в государственный кадастр недвижимости, произведен кадастровый учет – для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вновь построенных объектов недвижимого имущества и объектов недвижимого имущества, выявленных по итогам инвентаризации, внесены соответствующие изменения в государственный кадастр недвижимости – для объектов недвижимого имущества с изменившимися техническими характеристиками (после перепланировки или реконструкции), а также произведена государственная регистрация права собственности Российской Федерации и права хозяйственного ведения ФГУП «ГНЦ РФ – ФЭИ» – для объектов недвижимого имущества, выявленных по итогам инвентаризации.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По каждому вновь построенному объекту недвижимого имущества должны быть оформлены: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план;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кадастровый паспорт.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По каждому объекту недвижимого имущества с изменившимися техническими характеристиками (после перепланировки или реконструкции) должны быть оформлены: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паспорт с актуальными техническими характеристиками объекта;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план;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кадастровый паспорт.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По каждому объекту недвижимого имущества, выявленному по итогам инвентаризации должны быть оформлены: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паспорт;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план;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кадастровый паспорт;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карта сведений об объекте учета № 1.2;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выписка из реестра федерального имущества;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свидетельство о государственной регистрации права собственности Российской Федерации;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свидетельство о государственной регистрации права хозяйственного ведения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ФГУП «ГНЦ РФ – ФЭИ».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По каждому объекту, имеющему признаки некапитального строения, выявленному при инвентаризации, должно быть оформлено заключение кадастрового инженера об отнесении находящегося в пользовании ФГУП «ГНЦ РФ – ФЭИ» объекта, не являющегося объектом недвижимого имущества, к объектам некапитального строительства.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 Требования по приемке работ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По завершению работ Исполнитель готовит комплект документации по каждому объекту недвижимого имущества и каждому объекту, отнесенному к объектам некапитального строительства, и направляет Заказчику акт о приемке выполненных работ в двух экземплярах с приложением счета и счета-фактуры (если применяется НДС).</w:t>
            </w:r>
          </w:p>
          <w:p w:rsidR="003D2103" w:rsidRPr="001D676A" w:rsidRDefault="003D2103" w:rsidP="00F22292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Приемка результатов работ выполняется по комплектности и качеству представленных документов. Запрещается приемка незавершенной или некомплектной работы.</w:t>
            </w:r>
          </w:p>
          <w:p w:rsidR="003D2103" w:rsidRPr="001D676A" w:rsidRDefault="003D2103" w:rsidP="00F22292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В документации не допускается наличие технических ошибок, характеристики объекта, включая его кадастровый и инвентарный номер, адрес месторасположения, наименование правообладателя, площадь и т.п. должны быть идентичны во всех видах представляемых документов. </w:t>
            </w:r>
          </w:p>
          <w:p w:rsidR="003D2103" w:rsidRPr="001D676A" w:rsidRDefault="003D2103" w:rsidP="00F22292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Все буквы, цифры и знаки должны читаться однозначно. Особенно четко должны быть изображены сходные по написанию цифры: 1 и 7; 3 и 8; 5 и 6; 9 и 0; буквы и цифры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>С и 0; В и 8; Б и 6, а также знаки «плюс», «минус», запятые, точки, градусы.</w:t>
            </w:r>
          </w:p>
          <w:p w:rsidR="003D2103" w:rsidRPr="001D676A" w:rsidRDefault="003D2103" w:rsidP="00F22292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Представляемые документы должны быть оригинальными, отличного качества, не допускается принимать мятые, рваные, коробленые и склеенные липкой лентой оригиналы. На них не должно быть также линий перегибов и разрывов, проходящих через цифры, буквы, условные знаки, вдоль контурных, размерных и выносных линий. Не допускается наличие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lastRenderedPageBreak/>
              <w:t>различных пометок карандашом или чернилами.</w:t>
            </w:r>
          </w:p>
          <w:p w:rsidR="003D2103" w:rsidRPr="001D676A" w:rsidRDefault="003D2103" w:rsidP="00F22292">
            <w:pPr>
              <w:tabs>
                <w:tab w:val="num" w:pos="0"/>
              </w:tabs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работ, предоставляет Исполнителю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безвозмездного устранения Исполнителем выявленных недостатков повторная сдача-приемка работ производится в том же в порядке.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3D2103" w:rsidRPr="001D676A" w:rsidTr="00F22292">
        <w:trPr>
          <w:trHeight w:val="385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Заказчику передается следующий комплект документации на бумажных носителях: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1. По каждому вновь построенному объекту недвижимого имущества: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план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кадастровый паспорт – 1 экз.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2. По каждому объекту недвижимого имущества с изменившимися техническими характеристиками (после перепланировки или реконструкции):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паспорт с актуальными техническими характеристиками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план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кадастровый паспорт – 1 экз.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3. По каждому объекту недвижимого имущества, выявленному по итогам инвентаризации: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паспорт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технический план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кадастровый паспорт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карта сведений об объекте учета № 1.2 – 2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выписка из реестра федерального имущества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- свидетельство о государственной регистрации права собственности Российской Федерации – 1 экз.;</w:t>
            </w:r>
          </w:p>
          <w:p w:rsidR="003D2103" w:rsidRPr="001D676A" w:rsidRDefault="003D2103" w:rsidP="00F22292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 xml:space="preserve">- свидетельство о государственной регистрации права хозяйственного ведения 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br/>
              <w:t xml:space="preserve">ФГУП «ГНЦ РФ – ФЭИ» – 1 экз. </w:t>
            </w:r>
          </w:p>
        </w:tc>
      </w:tr>
    </w:tbl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D2103" w:rsidRPr="001D676A" w:rsidRDefault="003D2103" w:rsidP="003D210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D676A">
        <w:rPr>
          <w:rFonts w:ascii="Times New Roman" w:hAnsi="Times New Roman"/>
          <w:color w:val="000000"/>
          <w:szCs w:val="24"/>
          <w:lang w:eastAsia="ru-RU"/>
        </w:rPr>
        <w:t>РАЗДЕЛ 5. ПЕРЕЧЕНЬ ПРИНЯТЫХ СОКРАЩЕНИЙ</w:t>
      </w:r>
    </w:p>
    <w:p w:rsidR="003D2103" w:rsidRPr="001D676A" w:rsidRDefault="003D2103" w:rsidP="003D210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06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5"/>
      </w:tblGrid>
      <w:tr w:rsidR="003D2103" w:rsidRPr="001D676A" w:rsidTr="00F22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103" w:rsidRPr="001D676A" w:rsidRDefault="003D2103" w:rsidP="00F2229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3D2103" w:rsidRPr="001D676A" w:rsidTr="00F22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НДС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Налог на добавленную стоимость</w:t>
            </w:r>
          </w:p>
        </w:tc>
      </w:tr>
      <w:tr w:rsidR="003D2103" w:rsidRPr="001D676A" w:rsidTr="00F22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color w:val="000000"/>
                <w:szCs w:val="24"/>
                <w:lang w:eastAsia="ru-RU"/>
              </w:rPr>
              <w:t>ФГУП «ГНЦ РФ – ФЭИ»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03" w:rsidRPr="001D676A" w:rsidRDefault="003D2103" w:rsidP="00F2229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D676A">
              <w:rPr>
                <w:rFonts w:ascii="Times New Roman" w:hAnsi="Times New Roman"/>
                <w:szCs w:val="24"/>
                <w:lang w:eastAsia="ru-RU"/>
              </w:rPr>
              <w:t>Федеральное государственное унитарное предприятие «</w:t>
            </w:r>
            <w:r w:rsidRPr="001D676A">
              <w:rPr>
                <w:rFonts w:ascii="Times New Roman" w:hAnsi="Times New Roman"/>
                <w:color w:val="000000"/>
                <w:spacing w:val="6"/>
                <w:szCs w:val="24"/>
                <w:lang w:eastAsia="ru-RU"/>
              </w:rPr>
              <w:t>Государственный научный центр Российской Федерации – Физико-энергетический институт имени А.И. Лейпунского</w:t>
            </w:r>
            <w:r w:rsidRPr="001D676A">
              <w:rPr>
                <w:rFonts w:ascii="Times New Roman" w:hAnsi="Times New Roman"/>
                <w:szCs w:val="24"/>
                <w:lang w:eastAsia="ru-RU"/>
              </w:rPr>
              <w:t>»</w:t>
            </w:r>
          </w:p>
        </w:tc>
      </w:tr>
    </w:tbl>
    <w:p w:rsidR="003D2103" w:rsidRPr="001D676A" w:rsidRDefault="003D2103" w:rsidP="003D2103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3D2103" w:rsidRPr="001D676A" w:rsidRDefault="003D2103" w:rsidP="003D2103">
      <w:pPr>
        <w:ind w:firstLine="340"/>
        <w:jc w:val="center"/>
        <w:rPr>
          <w:rFonts w:ascii="Times New Roman" w:hAnsi="Times New Roman"/>
          <w:szCs w:val="24"/>
        </w:rPr>
      </w:pPr>
    </w:p>
    <w:p w:rsidR="003D2103" w:rsidRPr="001D676A" w:rsidRDefault="003D2103" w:rsidP="003D2103">
      <w:pPr>
        <w:ind w:left="708"/>
        <w:jc w:val="both"/>
        <w:rPr>
          <w:rFonts w:ascii="Times New Roman" w:hAnsi="Times New Roman"/>
          <w:szCs w:val="24"/>
        </w:rPr>
      </w:pPr>
      <w:r w:rsidRPr="001D676A">
        <w:rPr>
          <w:rFonts w:ascii="Times New Roman" w:hAnsi="Times New Roman"/>
          <w:b/>
          <w:szCs w:val="24"/>
        </w:rPr>
        <w:t xml:space="preserve">Контактное лицо: </w:t>
      </w:r>
      <w:r w:rsidRPr="001D676A">
        <w:rPr>
          <w:rFonts w:ascii="Times New Roman" w:hAnsi="Times New Roman"/>
          <w:szCs w:val="24"/>
        </w:rPr>
        <w:t>Кабанов Роман Игоревич (48439) 9-53-46</w:t>
      </w:r>
      <w:r>
        <w:rPr>
          <w:rFonts w:ascii="Times New Roman" w:hAnsi="Times New Roman"/>
          <w:szCs w:val="24"/>
        </w:rPr>
        <w:t>.</w:t>
      </w:r>
    </w:p>
    <w:p w:rsidR="003D2103" w:rsidRPr="00434CF1" w:rsidRDefault="003D2103" w:rsidP="003D2103">
      <w:pPr>
        <w:jc w:val="both"/>
      </w:pPr>
    </w:p>
    <w:p w:rsidR="008E3C0C" w:rsidRDefault="008E3C0C">
      <w:bookmarkStart w:id="0" w:name="_GoBack"/>
      <w:bookmarkEnd w:id="0"/>
    </w:p>
    <w:sectPr w:rsidR="008E3C0C" w:rsidSect="001D676A">
      <w:pgSz w:w="11906" w:h="16838"/>
      <w:pgMar w:top="284" w:right="566" w:bottom="255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61C"/>
    <w:multiLevelType w:val="hybridMultilevel"/>
    <w:tmpl w:val="3DE4AE6C"/>
    <w:lvl w:ilvl="0" w:tplc="A6C8E33E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>
    <w:nsid w:val="38C234B1"/>
    <w:multiLevelType w:val="hybridMultilevel"/>
    <w:tmpl w:val="2CC4CEFC"/>
    <w:lvl w:ilvl="0" w:tplc="A6C8E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017"/>
    <w:rsid w:val="003D2103"/>
    <w:rsid w:val="008E3C0C"/>
    <w:rsid w:val="00AC10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1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4126</Words>
  <Characters>23519</Characters>
  <Application>Microsoft Office Word</Application>
  <DocSecurity>0</DocSecurity>
  <Lines>195</Lines>
  <Paragraphs>55</Paragraphs>
  <ScaleCrop>false</ScaleCrop>
  <Company>Организация</Company>
  <LinksUpToDate>false</LinksUpToDate>
  <CharactersWithSpaces>27590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2014-07-09T11:41:00Z</dcterms:created>
  <dcterms:modified xsi:type="dcterms:W3CDTF">2014-07-09T11:41:00Z</dcterms:modified>
</cp:coreProperties>
</file>