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5EE" w:rsidRPr="00CD3B8C" w:rsidRDefault="00CE35EE" w:rsidP="00CE35EE">
      <w:pPr>
        <w:tabs>
          <w:tab w:val="left" w:pos="709"/>
          <w:tab w:val="left" w:pos="1134"/>
        </w:tabs>
        <w:spacing w:before="0" w:line="240" w:lineRule="auto"/>
        <w:ind w:left="709"/>
        <w:jc w:val="center"/>
        <w:rPr>
          <w:b/>
          <w:sz w:val="28"/>
          <w:szCs w:val="28"/>
        </w:rPr>
      </w:pPr>
      <w:bookmarkStart w:id="0" w:name="_GoBack"/>
      <w:bookmarkEnd w:id="0"/>
      <w:r w:rsidRPr="00CD3B8C">
        <w:rPr>
          <w:b/>
          <w:sz w:val="28"/>
          <w:szCs w:val="28"/>
        </w:rPr>
        <w:t>Методика расчета обеспеченности финансовыми ресурсами участников закупок</w:t>
      </w:r>
    </w:p>
    <w:p w:rsidR="00CE35EE" w:rsidRPr="00CD3B8C" w:rsidRDefault="00CE35EE" w:rsidP="00CE35EE">
      <w:pPr>
        <w:tabs>
          <w:tab w:val="left" w:pos="709"/>
          <w:tab w:val="left" w:pos="1134"/>
        </w:tabs>
        <w:spacing w:before="0" w:line="240" w:lineRule="auto"/>
        <w:ind w:left="709"/>
        <w:rPr>
          <w:sz w:val="28"/>
          <w:szCs w:val="28"/>
        </w:rPr>
      </w:pPr>
    </w:p>
    <w:p w:rsidR="00CE35EE" w:rsidRPr="00CD3B8C" w:rsidRDefault="00CE35EE" w:rsidP="00CE35EE">
      <w:pPr>
        <w:numPr>
          <w:ilvl w:val="0"/>
          <w:numId w:val="2"/>
        </w:numPr>
        <w:tabs>
          <w:tab w:val="left" w:pos="709"/>
          <w:tab w:val="left" w:pos="1134"/>
        </w:tabs>
        <w:spacing w:before="0" w:line="240" w:lineRule="auto"/>
        <w:rPr>
          <w:b/>
          <w:bCs/>
          <w:sz w:val="28"/>
          <w:szCs w:val="28"/>
        </w:rPr>
      </w:pPr>
      <w:bookmarkStart w:id="1" w:name="_Toc366225601"/>
      <w:r w:rsidRPr="00CD3B8C">
        <w:rPr>
          <w:b/>
          <w:bCs/>
          <w:sz w:val="28"/>
          <w:szCs w:val="28"/>
        </w:rPr>
        <w:t>Основные положения</w:t>
      </w:r>
      <w:bookmarkEnd w:id="1"/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CE35EE" w:rsidRPr="00CD3B8C" w:rsidRDefault="00CE35EE" w:rsidP="00CE35EE">
      <w:pPr>
        <w:tabs>
          <w:tab w:val="left" w:pos="709"/>
          <w:tab w:val="left" w:pos="1134"/>
        </w:tabs>
        <w:spacing w:before="0" w:line="240" w:lineRule="auto"/>
        <w:ind w:left="709"/>
        <w:rPr>
          <w:sz w:val="28"/>
          <w:szCs w:val="28"/>
        </w:rPr>
      </w:pPr>
    </w:p>
    <w:p w:rsidR="00CE35EE" w:rsidRPr="00CD3B8C" w:rsidRDefault="00CE35EE" w:rsidP="00CE35EE">
      <w:pPr>
        <w:numPr>
          <w:ilvl w:val="0"/>
          <w:numId w:val="2"/>
        </w:numPr>
        <w:tabs>
          <w:tab w:val="left" w:pos="709"/>
          <w:tab w:val="left" w:pos="1134"/>
        </w:tabs>
        <w:spacing w:before="0" w:line="240" w:lineRule="auto"/>
        <w:rPr>
          <w:b/>
          <w:bCs/>
          <w:sz w:val="28"/>
          <w:szCs w:val="28"/>
        </w:rPr>
      </w:pPr>
      <w:bookmarkStart w:id="2" w:name="_Toc366225602"/>
      <w:r w:rsidRPr="00CD3B8C">
        <w:rPr>
          <w:b/>
          <w:bCs/>
          <w:sz w:val="28"/>
          <w:szCs w:val="28"/>
        </w:rPr>
        <w:t>Методика расчета.</w:t>
      </w:r>
      <w:bookmarkEnd w:id="2"/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CE35EE" w:rsidRPr="00CD3B8C" w:rsidRDefault="00CE35EE" w:rsidP="00CE35EE">
      <w:pPr>
        <w:numPr>
          <w:ilvl w:val="0"/>
          <w:numId w:val="3"/>
        </w:numPr>
        <w:tabs>
          <w:tab w:val="left" w:pos="709"/>
          <w:tab w:val="left" w:pos="1134"/>
        </w:tabs>
        <w:spacing w:before="0" w:line="240" w:lineRule="auto"/>
        <w:ind w:left="0" w:firstLine="709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средств;</w:t>
      </w:r>
    </w:p>
    <w:p w:rsidR="00CE35EE" w:rsidRPr="00CD3B8C" w:rsidRDefault="00CE35EE" w:rsidP="00CE35EE">
      <w:pPr>
        <w:numPr>
          <w:ilvl w:val="0"/>
          <w:numId w:val="3"/>
        </w:numPr>
        <w:tabs>
          <w:tab w:val="left" w:pos="709"/>
          <w:tab w:val="left" w:pos="1134"/>
        </w:tabs>
        <w:spacing w:before="0" w:line="240" w:lineRule="auto"/>
        <w:ind w:left="0" w:firstLine="709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</w:t>
      </w:r>
    </w:p>
    <w:p w:rsidR="00CE35EE" w:rsidRPr="00CD3B8C" w:rsidRDefault="00CE35EE" w:rsidP="00CE35EE">
      <w:pPr>
        <w:numPr>
          <w:ilvl w:val="0"/>
          <w:numId w:val="3"/>
        </w:numPr>
        <w:tabs>
          <w:tab w:val="left" w:pos="709"/>
          <w:tab w:val="left" w:pos="1134"/>
        </w:tabs>
        <w:spacing w:before="0" w:line="240" w:lineRule="auto"/>
        <w:ind w:left="0" w:firstLine="709"/>
        <w:rPr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CE35EE" w:rsidRPr="00CD3B8C" w:rsidRDefault="00CE35EE" w:rsidP="00CE35EE">
      <w:pPr>
        <w:numPr>
          <w:ilvl w:val="0"/>
          <w:numId w:val="3"/>
        </w:numPr>
        <w:tabs>
          <w:tab w:val="left" w:pos="709"/>
          <w:tab w:val="left" w:pos="1134"/>
        </w:tabs>
        <w:spacing w:before="0" w:line="240" w:lineRule="auto"/>
        <w:ind w:left="0" w:firstLine="709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CE35EE" w:rsidRPr="00CD3B8C" w:rsidRDefault="00CE35EE" w:rsidP="00CE35EE">
      <w:pPr>
        <w:numPr>
          <w:ilvl w:val="0"/>
          <w:numId w:val="3"/>
        </w:numPr>
        <w:tabs>
          <w:tab w:val="left" w:pos="709"/>
          <w:tab w:val="left" w:pos="1134"/>
        </w:tabs>
        <w:spacing w:before="0" w:line="240" w:lineRule="auto"/>
        <w:ind w:left="0" w:firstLine="709"/>
        <w:rPr>
          <w:sz w:val="28"/>
          <w:szCs w:val="28"/>
        </w:rPr>
      </w:pPr>
      <w:r w:rsidRPr="00CD3B8C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CE35EE" w:rsidRPr="00CD3B8C" w:rsidRDefault="00CE35EE" w:rsidP="00CE35EE">
      <w:pPr>
        <w:numPr>
          <w:ilvl w:val="0"/>
          <w:numId w:val="3"/>
        </w:numPr>
        <w:tabs>
          <w:tab w:val="left" w:pos="709"/>
          <w:tab w:val="left" w:pos="1134"/>
        </w:tabs>
        <w:spacing w:before="0" w:line="240" w:lineRule="auto"/>
        <w:ind w:left="0" w:firstLine="709"/>
        <w:rPr>
          <w:sz w:val="28"/>
          <w:szCs w:val="28"/>
        </w:rPr>
      </w:pPr>
      <w:r w:rsidRPr="00CD3B8C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CE35EE" w:rsidRPr="00CD3B8C" w:rsidRDefault="00CE35EE" w:rsidP="00CE35EE">
      <w:pPr>
        <w:tabs>
          <w:tab w:val="left" w:pos="709"/>
          <w:tab w:val="left" w:pos="1134"/>
        </w:tabs>
        <w:spacing w:before="0" w:line="240" w:lineRule="auto"/>
        <w:ind w:left="709"/>
        <w:rPr>
          <w:sz w:val="28"/>
          <w:szCs w:val="28"/>
        </w:rPr>
      </w:pPr>
    </w:p>
    <w:p w:rsidR="00CE35EE" w:rsidRPr="00CD3B8C" w:rsidRDefault="00CE35EE" w:rsidP="00CE35EE">
      <w:pPr>
        <w:numPr>
          <w:ilvl w:val="0"/>
          <w:numId w:val="1"/>
        </w:numPr>
        <w:tabs>
          <w:tab w:val="left" w:pos="709"/>
          <w:tab w:val="left" w:pos="1134"/>
        </w:tabs>
        <w:spacing w:before="0" w:line="240" w:lineRule="auto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средств.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CE35EE" w:rsidRPr="00CD3B8C" w:rsidRDefault="00CE35EE" w:rsidP="00CE35EE">
      <w:pPr>
        <w:tabs>
          <w:tab w:val="left" w:pos="709"/>
          <w:tab w:val="left" w:pos="1134"/>
        </w:tabs>
        <w:spacing w:before="0" w:line="240" w:lineRule="auto"/>
        <w:ind w:left="709"/>
        <w:rPr>
          <w:sz w:val="28"/>
          <w:szCs w:val="28"/>
        </w:rPr>
      </w:pPr>
    </w:p>
    <w:p w:rsidR="00CE35EE" w:rsidRPr="00CD3B8C" w:rsidRDefault="00CE35EE" w:rsidP="00CE35EE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6" o:title=""/>
          </v:shape>
          <o:OLEObject Type="Embed" ProgID="Equation.3" ShapeID="_x0000_i1025" DrawAspect="Content" ObjectID="_1531669523" r:id="rId7"/>
        </w:object>
      </w:r>
    </w:p>
    <w:p w:rsidR="00CE35EE" w:rsidRPr="00CD3B8C" w:rsidRDefault="00CE35EE" w:rsidP="00CE35EE">
      <w:pPr>
        <w:tabs>
          <w:tab w:val="left" w:pos="709"/>
          <w:tab w:val="left" w:pos="1134"/>
        </w:tabs>
        <w:spacing w:before="0" w:line="240" w:lineRule="auto"/>
        <w:ind w:left="1276"/>
        <w:rPr>
          <w:sz w:val="28"/>
          <w:szCs w:val="28"/>
        </w:rPr>
      </w:pPr>
    </w:p>
    <w:p w:rsidR="00CE35EE" w:rsidRPr="00CD3B8C" w:rsidRDefault="00CE35EE" w:rsidP="00CE35EE">
      <w:pPr>
        <w:numPr>
          <w:ilvl w:val="0"/>
          <w:numId w:val="1"/>
        </w:numPr>
        <w:tabs>
          <w:tab w:val="left" w:pos="709"/>
          <w:tab w:val="left" w:pos="1134"/>
        </w:tabs>
        <w:spacing w:before="0" w:line="240" w:lineRule="auto"/>
        <w:ind w:left="0" w:firstLine="1276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средствами.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</w:p>
    <w:p w:rsidR="00CE35EE" w:rsidRPr="00CD3B8C" w:rsidRDefault="00CE35EE" w:rsidP="00CE35EE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осс.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8" o:title=""/>
          </v:shape>
          <o:OLEObject Type="Embed" ProgID="Equation.3" ShapeID="_x0000_i1026" DrawAspect="Content" ObjectID="_1531669524" r:id="rId9"/>
        </w:object>
      </w:r>
      <w:r w:rsidRPr="00CD3B8C">
        <w:t>,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стр.1100 = стр.1110 + стр.1120 + стр.1130 + стр.1140 + стр.1150 + стр.1160 + +стр.1170 + стр.1180 + стр.1190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стр.1200 = стр.1210 + стр.1220 + стр.1230 + стр.1240 + стр.1250 + стр.1260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внеоборотных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</w:p>
    <w:p w:rsidR="00CE35EE" w:rsidRPr="00CD3B8C" w:rsidRDefault="00CE35EE" w:rsidP="00CE35EE">
      <w:pPr>
        <w:numPr>
          <w:ilvl w:val="0"/>
          <w:numId w:val="1"/>
        </w:numPr>
        <w:tabs>
          <w:tab w:val="left" w:pos="709"/>
          <w:tab w:val="left" w:pos="1134"/>
        </w:tabs>
        <w:spacing w:before="0" w:line="240" w:lineRule="auto"/>
        <w:ind w:left="0" w:firstLine="1260"/>
        <w:rPr>
          <w:b/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D3B8C" w:rsidDel="00B546B3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по формуле:</w:t>
      </w:r>
    </w:p>
    <w:p w:rsidR="00CE35EE" w:rsidRPr="00CD3B8C" w:rsidRDefault="00CE35EE" w:rsidP="00CE35EE">
      <w:pPr>
        <w:tabs>
          <w:tab w:val="left" w:pos="709"/>
          <w:tab w:val="left" w:pos="1134"/>
        </w:tabs>
        <w:spacing w:before="0" w:line="240" w:lineRule="auto"/>
        <w:ind w:left="709"/>
        <w:jc w:val="center"/>
        <w:rPr>
          <w:sz w:val="28"/>
          <w:szCs w:val="28"/>
        </w:rPr>
      </w:pPr>
    </w:p>
    <w:p w:rsidR="00CE35EE" w:rsidRPr="00CD3B8C" w:rsidRDefault="00CE35EE" w:rsidP="00CE35EE">
      <w:pPr>
        <w:tabs>
          <w:tab w:val="left" w:pos="709"/>
          <w:tab w:val="left" w:pos="1134"/>
        </w:tabs>
        <w:spacing w:before="0" w:line="240" w:lineRule="auto"/>
        <w:ind w:left="709"/>
        <w:jc w:val="center"/>
        <w:rPr>
          <w:sz w:val="28"/>
          <w:szCs w:val="28"/>
        </w:rPr>
      </w:pPr>
    </w:p>
    <w:p w:rsidR="00CE35EE" w:rsidRPr="00CD3B8C" w:rsidRDefault="00CE35EE" w:rsidP="00CE35EE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r w:rsidRPr="00CD3B8C">
        <w:rPr>
          <w:sz w:val="28"/>
          <w:szCs w:val="28"/>
        </w:rPr>
        <w:t xml:space="preserve">Ксв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10" o:title=""/>
          </v:shape>
          <o:OLEObject Type="Embed" ProgID="Equation.3" ShapeID="_x0000_i1027" DrawAspect="Content" ObjectID="_1531669525" r:id="rId11"/>
        </w:object>
      </w:r>
      <w:r w:rsidRPr="00CD3B8C">
        <w:rPr>
          <w:sz w:val="28"/>
          <w:szCs w:val="28"/>
        </w:rPr>
        <w:t>,</w:t>
      </w:r>
    </w:p>
    <w:p w:rsidR="00CE35EE" w:rsidRPr="00CD3B8C" w:rsidRDefault="00CE35EE" w:rsidP="00CE35EE">
      <w:pPr>
        <w:tabs>
          <w:tab w:val="left" w:pos="709"/>
          <w:tab w:val="left" w:pos="1134"/>
        </w:tabs>
        <w:spacing w:before="0" w:line="240" w:lineRule="auto"/>
        <w:ind w:left="709"/>
        <w:jc w:val="center"/>
        <w:rPr>
          <w:sz w:val="28"/>
          <w:szCs w:val="28"/>
        </w:rPr>
      </w:pP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 – период выполнения обязательств по договору (в месяцах),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 В=0.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S – сумма договора без НДС. 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 xml:space="preserve">Ксв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Ксв осуществляется один раз одновременно для двух периодов. </w:t>
      </w:r>
    </w:p>
    <w:p w:rsidR="00CE35EE" w:rsidRPr="00CD3B8C" w:rsidRDefault="00CE35EE" w:rsidP="00CE35EE">
      <w:pPr>
        <w:tabs>
          <w:tab w:val="left" w:pos="709"/>
          <w:tab w:val="left" w:pos="1134"/>
        </w:tabs>
        <w:spacing w:before="0" w:line="240" w:lineRule="auto"/>
        <w:ind w:left="709"/>
        <w:rPr>
          <w:sz w:val="28"/>
          <w:szCs w:val="28"/>
        </w:rPr>
      </w:pPr>
    </w:p>
    <w:p w:rsidR="00CE35EE" w:rsidRPr="00CD3B8C" w:rsidRDefault="00CE35EE" w:rsidP="00CE35EE">
      <w:pPr>
        <w:numPr>
          <w:ilvl w:val="0"/>
          <w:numId w:val="1"/>
        </w:numPr>
        <w:tabs>
          <w:tab w:val="left" w:pos="709"/>
          <w:tab w:val="left" w:pos="1134"/>
        </w:tabs>
        <w:spacing w:before="0" w:line="240" w:lineRule="auto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CE35EE" w:rsidRPr="00CD3B8C" w:rsidRDefault="00CE35EE" w:rsidP="00CE35EE">
      <w:pPr>
        <w:tabs>
          <w:tab w:val="left" w:pos="709"/>
          <w:tab w:val="left" w:pos="1134"/>
        </w:tabs>
        <w:spacing w:before="0" w:line="240" w:lineRule="auto"/>
        <w:ind w:left="709"/>
        <w:rPr>
          <w:sz w:val="28"/>
          <w:szCs w:val="28"/>
        </w:rPr>
      </w:pPr>
    </w:p>
    <w:p w:rsidR="00CE35EE" w:rsidRPr="00CD3B8C" w:rsidRDefault="00CE35EE" w:rsidP="00CE35EE">
      <w:pPr>
        <w:ind w:firstLine="709"/>
        <w:jc w:val="center"/>
      </w:pPr>
      <w:r w:rsidRPr="00CD3B8C">
        <w:rPr>
          <w:sz w:val="28"/>
          <w:szCs w:val="28"/>
        </w:rPr>
        <w:t xml:space="preserve">Кпп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12" o:title=""/>
          </v:shape>
          <o:OLEObject Type="Embed" ProgID="Equation.3" ShapeID="_x0000_i1028" DrawAspect="Content" ObjectID="_1531669526" r:id="rId13"/>
        </w:object>
      </w:r>
    </w:p>
    <w:p w:rsidR="00CE35EE" w:rsidRPr="00CD3B8C" w:rsidRDefault="00CE35EE" w:rsidP="00CE35EE">
      <w:pPr>
        <w:tabs>
          <w:tab w:val="left" w:pos="709"/>
          <w:tab w:val="left" w:pos="1134"/>
        </w:tabs>
        <w:spacing w:before="0" w:line="240" w:lineRule="auto"/>
        <w:ind w:left="709"/>
        <w:rPr>
          <w:sz w:val="28"/>
          <w:szCs w:val="28"/>
        </w:rPr>
      </w:pP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стр.2300 = (стр.2110 + стр.2310 + стр.2320 + стр.2340) – (стр.2120 + стр.2210 +</w:t>
      </w:r>
      <w:r w:rsidRPr="00CD3B8C" w:rsidDel="00CD4345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стр.2220 + стр.2330 +стр.2350)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CE35EE" w:rsidRPr="00CD3B8C" w:rsidRDefault="00CE35EE" w:rsidP="00CE35EE">
      <w:pPr>
        <w:tabs>
          <w:tab w:val="left" w:pos="709"/>
          <w:tab w:val="left" w:pos="1134"/>
        </w:tabs>
        <w:spacing w:before="0" w:line="240" w:lineRule="auto"/>
        <w:ind w:left="709"/>
        <w:rPr>
          <w:sz w:val="28"/>
          <w:szCs w:val="28"/>
        </w:rPr>
      </w:pPr>
    </w:p>
    <w:p w:rsidR="00CE35EE" w:rsidRPr="00CD3B8C" w:rsidRDefault="00CE35EE" w:rsidP="00CE35EE">
      <w:pPr>
        <w:numPr>
          <w:ilvl w:val="0"/>
          <w:numId w:val="2"/>
        </w:numPr>
        <w:tabs>
          <w:tab w:val="left" w:pos="709"/>
          <w:tab w:val="left" w:pos="1134"/>
        </w:tabs>
        <w:spacing w:before="0" w:line="240" w:lineRule="auto"/>
        <w:rPr>
          <w:b/>
          <w:bCs/>
          <w:sz w:val="28"/>
          <w:szCs w:val="28"/>
        </w:rPr>
      </w:pPr>
      <w:bookmarkStart w:id="3" w:name="_Toc365624008"/>
      <w:bookmarkStart w:id="4" w:name="_Toc365907684"/>
      <w:bookmarkStart w:id="5" w:name="_Toc366225603"/>
      <w:bookmarkEnd w:id="3"/>
      <w:bookmarkEnd w:id="4"/>
      <w:r w:rsidRPr="00CD3B8C">
        <w:rPr>
          <w:b/>
          <w:bCs/>
          <w:sz w:val="28"/>
          <w:szCs w:val="28"/>
        </w:rPr>
        <w:t>Критерии расчета показателей</w:t>
      </w:r>
      <w:bookmarkEnd w:id="5"/>
    </w:p>
    <w:p w:rsidR="00CE35EE" w:rsidRPr="00CD3B8C" w:rsidRDefault="00CE35EE" w:rsidP="00CE35EE">
      <w:pPr>
        <w:tabs>
          <w:tab w:val="left" w:pos="993"/>
          <w:tab w:val="left" w:pos="1134"/>
        </w:tabs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64"/>
        <w:gridCol w:w="1593"/>
        <w:gridCol w:w="1591"/>
        <w:gridCol w:w="1807"/>
        <w:gridCol w:w="1738"/>
      </w:tblGrid>
      <w:tr w:rsidR="00CE35EE" w:rsidRPr="00CD3B8C" w:rsidTr="003A0A37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CE35EE" w:rsidRPr="00CD3B8C" w:rsidTr="003A0A37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более 0,20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0,20-0,10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0,09-0,06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менее 0,06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0 единиц</w:t>
            </w:r>
          </w:p>
        </w:tc>
      </w:tr>
      <w:tr w:rsidR="00CE35EE" w:rsidRPr="00CD3B8C" w:rsidTr="003A0A37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ind w:left="159"/>
            </w:pPr>
            <w:r w:rsidRPr="00CD3B8C"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 xml:space="preserve"> 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  <w:r w:rsidRPr="00CD3B8C">
              <w:t xml:space="preserve"> 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0 единиц</w:t>
            </w:r>
          </w:p>
        </w:tc>
      </w:tr>
      <w:tr w:rsidR="00CE35EE" w:rsidRPr="00CD3B8C" w:rsidTr="003A0A37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ind w:left="159"/>
            </w:pPr>
            <w:r w:rsidRPr="00CD3B8C">
              <w:lastRenderedPageBreak/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более 1,50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1,50 – 1,20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1,19 – 0,50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менее 0,50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0 единиц</w:t>
            </w:r>
          </w:p>
        </w:tc>
      </w:tr>
      <w:tr w:rsidR="00CE35EE" w:rsidRPr="00CD3B8C" w:rsidTr="003A0A37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ind w:left="159"/>
            </w:pPr>
            <w:r w:rsidRPr="00CD3B8C"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более 2,00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2,00-1,50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ind w:left="360"/>
            </w:pPr>
            <w:r w:rsidRPr="00CD3B8C">
              <w:t>1,49-1,00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менее 1,00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0 единиц</w:t>
            </w:r>
          </w:p>
        </w:tc>
      </w:tr>
    </w:tbl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64"/>
        <w:gridCol w:w="1593"/>
        <w:gridCol w:w="1591"/>
        <w:gridCol w:w="1807"/>
        <w:gridCol w:w="1738"/>
      </w:tblGrid>
      <w:tr w:rsidR="00CE35EE" w:rsidRPr="00CD3B8C" w:rsidTr="003A0A37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CE35EE" w:rsidRPr="00CD3B8C" w:rsidTr="003A0A37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более 0,25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 xml:space="preserve">0,25-0,15 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  <w:rPr>
                <w:lang w:val="en-US"/>
              </w:rPr>
            </w:pPr>
            <w:r w:rsidRPr="00CD3B8C">
              <w:t>0,14-0,</w:t>
            </w:r>
            <w:r w:rsidRPr="00CD3B8C">
              <w:rPr>
                <w:lang w:val="en-US"/>
              </w:rPr>
              <w:t>08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  <w:rPr>
                <w:lang w:val="en-US"/>
              </w:rPr>
            </w:pPr>
            <w:r w:rsidRPr="00CD3B8C">
              <w:t>менее 0,</w:t>
            </w:r>
            <w:r w:rsidRPr="00CD3B8C">
              <w:rPr>
                <w:lang w:val="en-US"/>
              </w:rPr>
              <w:t>08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0 единиц</w:t>
            </w:r>
          </w:p>
        </w:tc>
      </w:tr>
      <w:tr w:rsidR="00CE35EE" w:rsidRPr="00CD3B8C" w:rsidTr="003A0A37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ind w:left="159"/>
            </w:pPr>
            <w:r w:rsidRPr="00CD3B8C"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более  0,</w:t>
            </w:r>
            <w:r w:rsidRPr="00CD3B8C">
              <w:rPr>
                <w:lang w:val="en-US"/>
              </w:rPr>
              <w:t>1</w:t>
            </w:r>
            <w:r w:rsidRPr="00CD3B8C">
              <w:t>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1</w:t>
            </w:r>
            <w:r w:rsidRPr="00CD3B8C">
              <w:t>0 – 0,</w:t>
            </w:r>
            <w:r w:rsidRPr="00CD3B8C">
              <w:rPr>
                <w:lang w:val="en-US"/>
              </w:rPr>
              <w:t>0</w:t>
            </w:r>
            <w:r w:rsidRPr="00CD3B8C">
              <w:t>6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</w:t>
            </w:r>
            <w:r w:rsidRPr="00CD3B8C">
              <w:t>5 – 0,</w:t>
            </w:r>
            <w:r w:rsidRPr="00CD3B8C">
              <w:rPr>
                <w:lang w:val="en-US"/>
              </w:rPr>
              <w:t>03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 xml:space="preserve"> 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03</w:t>
            </w:r>
            <w:r w:rsidRPr="00CD3B8C">
              <w:t xml:space="preserve"> 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0 единиц</w:t>
            </w:r>
          </w:p>
        </w:tc>
      </w:tr>
      <w:tr w:rsidR="00CE35EE" w:rsidRPr="00CD3B8C" w:rsidTr="003A0A37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более 1,50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1,50 – 1,20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1,19 – 0,50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менее 0,50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0 единиц</w:t>
            </w:r>
          </w:p>
        </w:tc>
      </w:tr>
      <w:tr w:rsidR="00CE35EE" w:rsidRPr="00CD3B8C" w:rsidTr="003A0A37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ind w:left="159"/>
            </w:pPr>
            <w:r w:rsidRPr="00CD3B8C"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более 3,00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3,00-2,00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5EE" w:rsidRPr="00CD3B8C" w:rsidRDefault="00CE35EE" w:rsidP="003A0A37">
            <w:pPr>
              <w:spacing w:line="240" w:lineRule="auto"/>
              <w:ind w:left="360"/>
            </w:pPr>
            <w:r w:rsidRPr="00CD3B8C">
              <w:t>1,99-1,00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менее 1,00</w:t>
            </w:r>
          </w:p>
          <w:p w:rsidR="00CE35EE" w:rsidRPr="00CD3B8C" w:rsidRDefault="00CE35EE" w:rsidP="003A0A37">
            <w:pPr>
              <w:spacing w:line="240" w:lineRule="auto"/>
              <w:jc w:val="center"/>
            </w:pPr>
          </w:p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0 единиц</w:t>
            </w:r>
          </w:p>
        </w:tc>
      </w:tr>
    </w:tbl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 этом к оценкам (сумме оценок) по показателям Касс, Косс и Кпп по истекшему году применяется удельный вес 0,6, а к оценкам по показателям Касс, Косс и Кпп по истекшему периоду (полугодие текущего года/ 9 месяцев текущего года) - удельный вес 0,4. 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Пример расчета интегрального показателя обеспеченности финансовыми ресурсами Zi:</w:t>
      </w:r>
    </w:p>
    <w:p w:rsidR="00CE35EE" w:rsidRPr="00CD3B8C" w:rsidRDefault="00CE35EE" w:rsidP="00CE35EE">
      <w:pPr>
        <w:tabs>
          <w:tab w:val="left" w:pos="709"/>
          <w:tab w:val="left" w:pos="1134"/>
        </w:tabs>
        <w:spacing w:before="0" w:line="240" w:lineRule="auto"/>
        <w:ind w:left="709"/>
        <w:rPr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CE35EE" w:rsidRPr="00CD3B8C" w:rsidTr="003A0A37">
        <w:trPr>
          <w:trHeight w:val="2758"/>
          <w:jc w:val="center"/>
        </w:trPr>
        <w:tc>
          <w:tcPr>
            <w:tcW w:w="1058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Участник</w:t>
            </w:r>
          </w:p>
        </w:tc>
        <w:tc>
          <w:tcPr>
            <w:tcW w:w="1594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Истекший период</w:t>
            </w:r>
          </w:p>
        </w:tc>
        <w:tc>
          <w:tcPr>
            <w:tcW w:w="1516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Сумма оценок участника за истекший год по показателям Касс, Косс и Кпп</w:t>
            </w:r>
          </w:p>
        </w:tc>
        <w:tc>
          <w:tcPr>
            <w:tcW w:w="1926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Сумма оценок участника за истекший период по показателям Касс, Косс и Кпп</w:t>
            </w:r>
          </w:p>
        </w:tc>
        <w:tc>
          <w:tcPr>
            <w:tcW w:w="1375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Оценка участника по показа-телю Ксв</w:t>
            </w:r>
          </w:p>
        </w:tc>
        <w:tc>
          <w:tcPr>
            <w:tcW w:w="2338" w:type="dxa"/>
            <w:vAlign w:val="center"/>
          </w:tcPr>
          <w:p w:rsidR="00CE35EE" w:rsidRPr="00CD3B8C" w:rsidRDefault="00CE35EE" w:rsidP="003A0A37">
            <w:pPr>
              <w:spacing w:line="240" w:lineRule="auto"/>
              <w:ind w:left="-103" w:right="-185"/>
              <w:jc w:val="center"/>
            </w:pPr>
            <w:r w:rsidRPr="00CD3B8C">
              <w:t>Показатель обеспеченности финансовыми ресурсами</w:t>
            </w:r>
          </w:p>
        </w:tc>
      </w:tr>
      <w:tr w:rsidR="00CE35EE" w:rsidRPr="00CD3B8C" w:rsidTr="003A0A37">
        <w:trPr>
          <w:trHeight w:val="483"/>
          <w:jc w:val="center"/>
        </w:trPr>
        <w:tc>
          <w:tcPr>
            <w:tcW w:w="1058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год</w:t>
            </w:r>
          </w:p>
        </w:tc>
        <w:tc>
          <w:tcPr>
            <w:tcW w:w="1516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-</w:t>
            </w:r>
          </w:p>
        </w:tc>
        <w:tc>
          <w:tcPr>
            <w:tcW w:w="1375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CE35EE" w:rsidRPr="00CD3B8C" w:rsidRDefault="00CE35EE" w:rsidP="003A0A37">
            <w:pPr>
              <w:spacing w:line="240" w:lineRule="auto"/>
              <w:ind w:left="-103" w:right="-185"/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CE35EE" w:rsidRPr="00CD3B8C" w:rsidTr="003A0A37">
        <w:trPr>
          <w:trHeight w:val="483"/>
          <w:jc w:val="center"/>
        </w:trPr>
        <w:tc>
          <w:tcPr>
            <w:tcW w:w="1058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не рассчитываются</w:t>
            </w:r>
          </w:p>
        </w:tc>
        <w:tc>
          <w:tcPr>
            <w:tcW w:w="1375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CE35EE" w:rsidRPr="00CD3B8C" w:rsidRDefault="00CE35EE" w:rsidP="003A0A37">
            <w:pPr>
              <w:spacing w:line="240" w:lineRule="auto"/>
              <w:ind w:left="-103" w:right="-185"/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CE35EE" w:rsidRPr="00CD3B8C" w:rsidTr="003A0A37">
        <w:trPr>
          <w:trHeight w:val="483"/>
          <w:jc w:val="center"/>
        </w:trPr>
        <w:tc>
          <w:tcPr>
            <w:tcW w:w="1058" w:type="dxa"/>
          </w:tcPr>
          <w:p w:rsidR="00CE35EE" w:rsidRPr="00CD3B8C" w:rsidRDefault="00CE35EE" w:rsidP="003A0A37">
            <w:pPr>
              <w:spacing w:line="240" w:lineRule="auto"/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CE35EE" w:rsidRPr="00CD3B8C" w:rsidRDefault="00CE35EE" w:rsidP="003A0A37">
            <w:pPr>
              <w:spacing w:line="240" w:lineRule="auto"/>
              <w:ind w:left="-103" w:right="-185"/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  <w:tr w:rsidR="00CE35EE" w:rsidRPr="00CD3B8C" w:rsidTr="003A0A37">
        <w:trPr>
          <w:trHeight w:val="483"/>
          <w:jc w:val="center"/>
        </w:trPr>
        <w:tc>
          <w:tcPr>
            <w:tcW w:w="1058" w:type="dxa"/>
          </w:tcPr>
          <w:p w:rsidR="00CE35EE" w:rsidRPr="00CD3B8C" w:rsidRDefault="00CE35EE" w:rsidP="003A0A37">
            <w:pPr>
              <w:spacing w:line="240" w:lineRule="auto"/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 xml:space="preserve">9 </w:t>
            </w:r>
            <w:r w:rsidRPr="00CD3B8C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CE35EE" w:rsidRPr="00CD3B8C" w:rsidRDefault="00CE35EE" w:rsidP="003A0A37">
            <w:pPr>
              <w:spacing w:line="240" w:lineRule="auto"/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CE35EE" w:rsidRPr="00CD3B8C" w:rsidRDefault="00CE35EE" w:rsidP="003A0A37">
            <w:pPr>
              <w:spacing w:line="240" w:lineRule="auto"/>
              <w:ind w:left="-103" w:right="-185"/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</w:tbl>
    <w:p w:rsidR="00CE35EE" w:rsidRPr="00CD3B8C" w:rsidRDefault="00CE35EE" w:rsidP="00CE35EE">
      <w:pPr>
        <w:tabs>
          <w:tab w:val="left" w:pos="709"/>
          <w:tab w:val="left" w:pos="1134"/>
        </w:tabs>
        <w:spacing w:before="0" w:line="240" w:lineRule="auto"/>
        <w:ind w:left="709"/>
        <w:rPr>
          <w:sz w:val="28"/>
          <w:szCs w:val="28"/>
        </w:rPr>
      </w:pPr>
    </w:p>
    <w:p w:rsidR="00CE35EE" w:rsidRPr="00CD3B8C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Чем выше данный показатель (Zi),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0D5661" w:rsidRPr="00CE35EE" w:rsidRDefault="00CE35EE" w:rsidP="00CE35EE">
      <w:pPr>
        <w:spacing w:before="0" w:line="240" w:lineRule="auto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Значение порогового значения показателя Zi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Zi устанавливается равным 30 единицам.</w:t>
      </w:r>
    </w:p>
    <w:sectPr w:rsidR="000D5661" w:rsidRPr="00CE35EE" w:rsidSect="00CE35EE">
      <w:pgSz w:w="11906" w:h="16838"/>
      <w:pgMar w:top="568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5EE"/>
    <w:rsid w:val="000D5661"/>
    <w:rsid w:val="00CD6A5F"/>
    <w:rsid w:val="00CE35EE"/>
    <w:rsid w:val="00D74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EE"/>
    <w:pPr>
      <w:spacing w:before="120"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EE"/>
    <w:pPr>
      <w:spacing w:before="120"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1522</Words>
  <Characters>8678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2</cp:revision>
  <dcterms:created xsi:type="dcterms:W3CDTF">2016-08-02T15:59:00Z</dcterms:created>
  <dcterms:modified xsi:type="dcterms:W3CDTF">2016-08-02T15:59:00Z</dcterms:modified>
</cp:coreProperties>
</file>