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1" w:type="dxa"/>
        <w:tblLook w:val="04A0"/>
      </w:tblPr>
      <w:tblGrid>
        <w:gridCol w:w="4371"/>
        <w:gridCol w:w="840"/>
        <w:gridCol w:w="4360"/>
      </w:tblGrid>
      <w:tr w:rsidR="00966D38" w:rsidTr="00966D38">
        <w:tc>
          <w:tcPr>
            <w:tcW w:w="9571" w:type="dxa"/>
            <w:gridSpan w:val="3"/>
          </w:tcPr>
          <w:p w:rsidR="00966D38" w:rsidRDefault="00966D38">
            <w:pPr>
              <w:jc w:val="right"/>
              <w:rPr>
                <w:sz w:val="24"/>
                <w:szCs w:val="24"/>
              </w:rPr>
            </w:pPr>
          </w:p>
        </w:tc>
      </w:tr>
      <w:tr w:rsidR="00966D38" w:rsidTr="00966D38">
        <w:tc>
          <w:tcPr>
            <w:tcW w:w="4371" w:type="dxa"/>
          </w:tcPr>
          <w:p w:rsidR="00966D38" w:rsidRDefault="00966D3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40" w:type="dxa"/>
          </w:tcPr>
          <w:p w:rsidR="00966D38" w:rsidRDefault="00966D3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60" w:type="dxa"/>
          </w:tcPr>
          <w:p w:rsidR="00966D38" w:rsidRDefault="00966D38">
            <w:pPr>
              <w:jc w:val="both"/>
              <w:rPr>
                <w:b/>
                <w:sz w:val="24"/>
                <w:szCs w:val="24"/>
              </w:rPr>
            </w:pPr>
          </w:p>
          <w:p w:rsidR="00966D38" w:rsidRDefault="00966D38">
            <w:pPr>
              <w:jc w:val="both"/>
              <w:rPr>
                <w:b/>
                <w:sz w:val="24"/>
                <w:szCs w:val="24"/>
              </w:rPr>
            </w:pPr>
          </w:p>
          <w:p w:rsidR="00966D38" w:rsidRDefault="00966D38">
            <w:pPr>
              <w:jc w:val="both"/>
              <w:rPr>
                <w:b/>
                <w:sz w:val="24"/>
                <w:szCs w:val="24"/>
              </w:rPr>
            </w:pPr>
          </w:p>
          <w:p w:rsidR="00966D38" w:rsidRDefault="00966D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УТВЕРЖДАЮ</w:t>
            </w:r>
          </w:p>
        </w:tc>
      </w:tr>
      <w:tr w:rsidR="00966D38" w:rsidTr="00966D38">
        <w:tc>
          <w:tcPr>
            <w:tcW w:w="4371" w:type="dxa"/>
          </w:tcPr>
          <w:p w:rsidR="00966D38" w:rsidRDefault="00966D38"/>
        </w:tc>
        <w:tc>
          <w:tcPr>
            <w:tcW w:w="840" w:type="dxa"/>
          </w:tcPr>
          <w:p w:rsidR="00966D38" w:rsidRDefault="00966D38">
            <w:pPr>
              <w:ind w:firstLine="851"/>
              <w:jc w:val="both"/>
              <w:rPr>
                <w:sz w:val="24"/>
                <w:szCs w:val="24"/>
              </w:rPr>
            </w:pPr>
          </w:p>
          <w:p w:rsidR="00966D38" w:rsidRDefault="00966D38">
            <w:pPr>
              <w:ind w:firstLine="851"/>
              <w:jc w:val="both"/>
              <w:rPr>
                <w:sz w:val="24"/>
                <w:szCs w:val="24"/>
              </w:rPr>
            </w:pPr>
          </w:p>
        </w:tc>
        <w:tc>
          <w:tcPr>
            <w:tcW w:w="4360" w:type="dxa"/>
          </w:tcPr>
          <w:p w:rsidR="00966D38" w:rsidRDefault="00966D38">
            <w:pPr>
              <w:pStyle w:val="5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Директор Проектно-конструкторского филиала ОАО «Концерн </w:t>
            </w:r>
            <w:proofErr w:type="spellStart"/>
            <w:r>
              <w:rPr>
                <w:b w:val="0"/>
                <w:sz w:val="24"/>
                <w:szCs w:val="24"/>
              </w:rPr>
              <w:t>Росэнергоатом</w:t>
            </w:r>
            <w:proofErr w:type="spellEnd"/>
            <w:r>
              <w:rPr>
                <w:b w:val="0"/>
                <w:sz w:val="24"/>
                <w:szCs w:val="24"/>
              </w:rPr>
              <w:t>»</w:t>
            </w:r>
          </w:p>
          <w:p w:rsidR="00966D38" w:rsidRDefault="00966D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 С.В. Егоров</w:t>
            </w:r>
          </w:p>
          <w:p w:rsidR="00966D38" w:rsidRDefault="00966D38">
            <w:pPr>
              <w:jc w:val="both"/>
              <w:rPr>
                <w:sz w:val="24"/>
                <w:szCs w:val="24"/>
              </w:rPr>
            </w:pPr>
          </w:p>
          <w:p w:rsidR="00966D38" w:rsidRDefault="00966D38">
            <w:pPr>
              <w:pStyle w:val="31"/>
              <w:keepNext w:val="0"/>
              <w:jc w:val="both"/>
              <w:rPr>
                <w:sz w:val="24"/>
              </w:rPr>
            </w:pPr>
            <w:r>
              <w:rPr>
                <w:sz w:val="24"/>
              </w:rPr>
              <w:t>«___»____________ 2012 г.</w:t>
            </w:r>
          </w:p>
        </w:tc>
      </w:tr>
    </w:tbl>
    <w:p w:rsidR="00966D38" w:rsidRDefault="00966D38" w:rsidP="00966D38">
      <w:pPr>
        <w:pStyle w:val="a5"/>
        <w:ind w:firstLine="851"/>
        <w:rPr>
          <w:b/>
          <w:sz w:val="24"/>
        </w:rPr>
      </w:pPr>
    </w:p>
    <w:p w:rsidR="00966D38" w:rsidRDefault="00966D38" w:rsidP="00966D38">
      <w:pPr>
        <w:pStyle w:val="a5"/>
        <w:ind w:firstLine="851"/>
        <w:rPr>
          <w:b/>
          <w:sz w:val="24"/>
        </w:rPr>
      </w:pPr>
    </w:p>
    <w:p w:rsidR="00966D38" w:rsidRDefault="00966D38" w:rsidP="00966D38">
      <w:pPr>
        <w:pStyle w:val="a5"/>
        <w:ind w:firstLine="851"/>
        <w:rPr>
          <w:b/>
          <w:sz w:val="24"/>
        </w:rPr>
      </w:pPr>
    </w:p>
    <w:p w:rsidR="00966D38" w:rsidRDefault="00966D38" w:rsidP="00966D38">
      <w:pPr>
        <w:pStyle w:val="a5"/>
        <w:ind w:firstLine="851"/>
        <w:rPr>
          <w:b/>
          <w:sz w:val="24"/>
        </w:rPr>
      </w:pPr>
    </w:p>
    <w:p w:rsidR="00966D38" w:rsidRDefault="00966D38" w:rsidP="00966D38">
      <w:pPr>
        <w:pStyle w:val="a5"/>
        <w:jc w:val="center"/>
        <w:rPr>
          <w:b/>
          <w:sz w:val="24"/>
        </w:rPr>
      </w:pPr>
      <w:r>
        <w:rPr>
          <w:b/>
          <w:sz w:val="24"/>
        </w:rPr>
        <w:t xml:space="preserve">ТЕХНИЧЕСКОЕ ЗАДАНИЕ </w:t>
      </w:r>
      <w:r>
        <w:rPr>
          <w:b/>
          <w:sz w:val="24"/>
        </w:rPr>
        <w:br/>
        <w:t>на выполнение работ</w:t>
      </w:r>
    </w:p>
    <w:p w:rsidR="00966D38" w:rsidRDefault="00966D38" w:rsidP="00966D38">
      <w:pPr>
        <w:pStyle w:val="a5"/>
        <w:ind w:firstLine="851"/>
        <w:rPr>
          <w:b/>
          <w:sz w:val="24"/>
        </w:rPr>
      </w:pPr>
      <w:r>
        <w:rPr>
          <w:b/>
          <w:sz w:val="24"/>
        </w:rPr>
        <w:t>1   Название (тема) работы:</w:t>
      </w:r>
    </w:p>
    <w:p w:rsidR="00966D38" w:rsidRDefault="00966D38" w:rsidP="00966D38">
      <w:pPr>
        <w:ind w:firstLine="851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«Разработка </w:t>
      </w:r>
      <w:proofErr w:type="gramStart"/>
      <w:r>
        <w:rPr>
          <w:sz w:val="24"/>
          <w:szCs w:val="24"/>
        </w:rPr>
        <w:t>методики определения зон планирования защитных мероприятий</w:t>
      </w:r>
      <w:proofErr w:type="gramEnd"/>
      <w:r>
        <w:rPr>
          <w:sz w:val="24"/>
          <w:szCs w:val="24"/>
        </w:rPr>
        <w:t xml:space="preserve"> в случае аварии на АЭС. </w:t>
      </w:r>
      <w:r>
        <w:rPr>
          <w:bCs/>
          <w:sz w:val="24"/>
          <w:szCs w:val="24"/>
        </w:rPr>
        <w:t xml:space="preserve">Расчет и обоснование зон планирования защитных мероприятий для </w:t>
      </w:r>
      <w:r>
        <w:rPr>
          <w:sz w:val="24"/>
          <w:szCs w:val="24"/>
        </w:rPr>
        <w:t>проектируемых и строящихся АЭС</w:t>
      </w:r>
      <w:r>
        <w:rPr>
          <w:bCs/>
          <w:sz w:val="24"/>
          <w:szCs w:val="24"/>
        </w:rPr>
        <w:t>».</w:t>
      </w:r>
    </w:p>
    <w:p w:rsidR="00966D38" w:rsidRDefault="00966D38" w:rsidP="00966D38">
      <w:pPr>
        <w:ind w:firstLine="851"/>
        <w:jc w:val="both"/>
        <w:rPr>
          <w:bCs/>
          <w:sz w:val="24"/>
          <w:szCs w:val="24"/>
        </w:rPr>
      </w:pPr>
    </w:p>
    <w:p w:rsidR="00966D38" w:rsidRDefault="00966D38" w:rsidP="00966D38">
      <w:pPr>
        <w:pStyle w:val="a5"/>
        <w:ind w:firstLine="851"/>
        <w:rPr>
          <w:b/>
          <w:sz w:val="24"/>
        </w:rPr>
      </w:pPr>
      <w:r>
        <w:rPr>
          <w:b/>
          <w:sz w:val="24"/>
        </w:rPr>
        <w:t xml:space="preserve">2   Основание для выполнения работы: </w:t>
      </w:r>
    </w:p>
    <w:p w:rsidR="00966D38" w:rsidRDefault="00966D38" w:rsidP="00966D38">
      <w:pPr>
        <w:pStyle w:val="BodyText3"/>
        <w:widowControl/>
        <w:tabs>
          <w:tab w:val="left" w:pos="1134"/>
        </w:tabs>
        <w:ind w:firstLine="851"/>
        <w:rPr>
          <w:color w:val="000000"/>
          <w:szCs w:val="24"/>
        </w:rPr>
      </w:pPr>
      <w:r>
        <w:rPr>
          <w:color w:val="000000"/>
          <w:szCs w:val="24"/>
        </w:rPr>
        <w:t>2.1</w:t>
      </w:r>
      <w:r>
        <w:rPr>
          <w:color w:val="000000"/>
          <w:szCs w:val="24"/>
        </w:rPr>
        <w:tab/>
        <w:t>Федеральный закон от 21 ноября 1995 г. № 170-ФЗ «Об использовании атомной энергии» ст. 35;</w:t>
      </w:r>
    </w:p>
    <w:p w:rsidR="00966D38" w:rsidRDefault="00966D38" w:rsidP="00966D38">
      <w:pPr>
        <w:tabs>
          <w:tab w:val="left" w:pos="1134"/>
        </w:tabs>
        <w:ind w:firstLine="851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</w:t>
      </w:r>
      <w:r>
        <w:rPr>
          <w:sz w:val="24"/>
          <w:szCs w:val="24"/>
        </w:rPr>
        <w:tab/>
        <w:t>Размещение атомных станций. Основные критерии и требования по обеспечению безопасности (НП-032-01)</w:t>
      </w:r>
      <w:r>
        <w:rPr>
          <w:bCs/>
          <w:sz w:val="24"/>
          <w:szCs w:val="24"/>
        </w:rPr>
        <w:t xml:space="preserve"> п. 3.3;</w:t>
      </w:r>
    </w:p>
    <w:p w:rsidR="00966D38" w:rsidRDefault="00966D38" w:rsidP="00966D38">
      <w:pPr>
        <w:pStyle w:val="BodyText3"/>
        <w:widowControl/>
        <w:tabs>
          <w:tab w:val="left" w:pos="1134"/>
        </w:tabs>
        <w:ind w:firstLine="851"/>
        <w:rPr>
          <w:color w:val="000000"/>
          <w:szCs w:val="24"/>
        </w:rPr>
      </w:pPr>
      <w:r>
        <w:rPr>
          <w:color w:val="000000"/>
          <w:szCs w:val="24"/>
        </w:rPr>
        <w:t>2.3</w:t>
      </w:r>
      <w:r>
        <w:rPr>
          <w:color w:val="000000"/>
          <w:szCs w:val="24"/>
        </w:rPr>
        <w:tab/>
      </w:r>
      <w:r>
        <w:rPr>
          <w:szCs w:val="24"/>
        </w:rPr>
        <w:t>Санитарные правила проектирования и эксплуатации атомных станций</w:t>
      </w:r>
      <w:r>
        <w:rPr>
          <w:color w:val="000000"/>
          <w:szCs w:val="24"/>
        </w:rPr>
        <w:t xml:space="preserve"> (СП АС</w:t>
      </w:r>
      <w:r>
        <w:rPr>
          <w:color w:val="000000"/>
          <w:szCs w:val="24"/>
        </w:rPr>
        <w:noBreakHyphen/>
        <w:t>03) п. 4.2.6.</w:t>
      </w:r>
    </w:p>
    <w:p w:rsidR="00966D38" w:rsidRDefault="00966D38" w:rsidP="00966D38">
      <w:pPr>
        <w:pStyle w:val="a5"/>
        <w:ind w:firstLine="851"/>
        <w:outlineLvl w:val="0"/>
        <w:rPr>
          <w:b/>
          <w:sz w:val="24"/>
        </w:rPr>
      </w:pPr>
    </w:p>
    <w:p w:rsidR="00966D38" w:rsidRDefault="00966D38" w:rsidP="00966D38">
      <w:pPr>
        <w:pStyle w:val="a5"/>
        <w:ind w:firstLine="851"/>
        <w:outlineLvl w:val="0"/>
        <w:rPr>
          <w:b/>
          <w:sz w:val="24"/>
        </w:rPr>
      </w:pPr>
      <w:r>
        <w:rPr>
          <w:b/>
          <w:sz w:val="24"/>
        </w:rPr>
        <w:t>3   Срок выполнения работы по договору:</w:t>
      </w:r>
    </w:p>
    <w:p w:rsidR="00966D38" w:rsidRDefault="00966D38" w:rsidP="00966D38">
      <w:pPr>
        <w:pStyle w:val="a5"/>
        <w:ind w:firstLine="851"/>
        <w:rPr>
          <w:sz w:val="24"/>
        </w:rPr>
      </w:pPr>
      <w:r>
        <w:rPr>
          <w:sz w:val="24"/>
        </w:rPr>
        <w:t xml:space="preserve">    окончание: «15» ноября 2012 г.</w:t>
      </w:r>
    </w:p>
    <w:p w:rsidR="00966D38" w:rsidRDefault="00966D38" w:rsidP="00966D38">
      <w:pPr>
        <w:pStyle w:val="a5"/>
        <w:ind w:firstLine="851"/>
        <w:rPr>
          <w:sz w:val="24"/>
        </w:rPr>
      </w:pPr>
    </w:p>
    <w:p w:rsidR="00966D38" w:rsidRDefault="00966D38" w:rsidP="00966D38">
      <w:pPr>
        <w:pStyle w:val="a5"/>
        <w:ind w:firstLine="851"/>
        <w:outlineLvl w:val="0"/>
        <w:rPr>
          <w:b/>
          <w:sz w:val="24"/>
        </w:rPr>
      </w:pPr>
      <w:r>
        <w:rPr>
          <w:b/>
          <w:sz w:val="24"/>
        </w:rPr>
        <w:t xml:space="preserve">4   Цель и исходные данные для проведения работ: </w:t>
      </w:r>
    </w:p>
    <w:p w:rsidR="00966D38" w:rsidRDefault="00966D38" w:rsidP="00966D38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4.1</w:t>
      </w:r>
      <w:r>
        <w:rPr>
          <w:sz w:val="24"/>
          <w:szCs w:val="24"/>
        </w:rPr>
        <w:tab/>
        <w:t xml:space="preserve">Цель работы: </w:t>
      </w:r>
    </w:p>
    <w:p w:rsidR="00966D38" w:rsidRDefault="00966D38" w:rsidP="00966D38">
      <w:pPr>
        <w:ind w:firstLine="85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Разработка </w:t>
      </w:r>
      <w:proofErr w:type="gramStart"/>
      <w:r>
        <w:rPr>
          <w:bCs/>
          <w:sz w:val="24"/>
          <w:szCs w:val="24"/>
        </w:rPr>
        <w:t>методики определения зон планирования защитных мероприятий</w:t>
      </w:r>
      <w:proofErr w:type="gramEnd"/>
      <w:r>
        <w:rPr>
          <w:bCs/>
          <w:sz w:val="24"/>
          <w:szCs w:val="24"/>
        </w:rPr>
        <w:t xml:space="preserve"> в случае радиационной аварии на АЭС;</w:t>
      </w:r>
    </w:p>
    <w:p w:rsidR="00966D38" w:rsidRDefault="00966D38" w:rsidP="00966D38">
      <w:pPr>
        <w:ind w:firstLine="85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Расчет и обоснование зон планирования защитных мероприятий для НВАЭС-2, ЛАЭС-2</w:t>
      </w:r>
    </w:p>
    <w:p w:rsidR="00966D38" w:rsidRDefault="00966D38" w:rsidP="00966D38">
      <w:pPr>
        <w:ind w:firstLine="85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Действующая в настоящее время «Методика </w:t>
      </w:r>
      <w:proofErr w:type="gramStart"/>
      <w:r>
        <w:rPr>
          <w:spacing w:val="-2"/>
          <w:sz w:val="24"/>
          <w:szCs w:val="24"/>
        </w:rPr>
        <w:t>определения размеров зон планирования мероприятий</w:t>
      </w:r>
      <w:proofErr w:type="gramEnd"/>
      <w:r>
        <w:rPr>
          <w:spacing w:val="-2"/>
          <w:sz w:val="24"/>
          <w:szCs w:val="24"/>
        </w:rPr>
        <w:t xml:space="preserve"> в случае радиационной аварии на АЭС» № 1.3.2.06.028.0013-2008 (далее – Методика) не позволяет корректно обосновать размеры указанных выше зон для проектируемых и строящихся АЭС по следующим причинам: </w:t>
      </w:r>
    </w:p>
    <w:p w:rsidR="00966D38" w:rsidRDefault="00966D38" w:rsidP="00966D38">
      <w:pPr>
        <w:numPr>
          <w:ilvl w:val="0"/>
          <w:numId w:val="1"/>
        </w:numPr>
        <w:tabs>
          <w:tab w:val="left" w:pos="993"/>
        </w:tabs>
        <w:ind w:left="0" w:firstLine="85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в соответствии с областью применения методика распространяется только на филиалы ОАО «Концерн </w:t>
      </w:r>
      <w:proofErr w:type="spellStart"/>
      <w:r>
        <w:rPr>
          <w:spacing w:val="-2"/>
          <w:sz w:val="24"/>
          <w:szCs w:val="24"/>
        </w:rPr>
        <w:t>Росэнергоатом</w:t>
      </w:r>
      <w:proofErr w:type="spellEnd"/>
      <w:r>
        <w:rPr>
          <w:spacing w:val="-2"/>
          <w:sz w:val="24"/>
          <w:szCs w:val="24"/>
        </w:rPr>
        <w:t>» - действующие атомные станции и не может быть применена к проектируемым и строящимся АЭС;</w:t>
      </w:r>
    </w:p>
    <w:p w:rsidR="00966D38" w:rsidRDefault="00966D38" w:rsidP="00966D38">
      <w:pPr>
        <w:numPr>
          <w:ilvl w:val="0"/>
          <w:numId w:val="1"/>
        </w:numPr>
        <w:tabs>
          <w:tab w:val="left" w:pos="993"/>
        </w:tabs>
        <w:ind w:left="0" w:firstLine="85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в методике фактически отсутствует алгоритм обоснования размеров зон, а постулируются максимальные значения их размеров, одинаковые для всех действующих АЭС (кроме </w:t>
      </w:r>
      <w:proofErr w:type="spellStart"/>
      <w:r>
        <w:rPr>
          <w:spacing w:val="-2"/>
          <w:sz w:val="24"/>
          <w:szCs w:val="24"/>
        </w:rPr>
        <w:t>Билибинской</w:t>
      </w:r>
      <w:proofErr w:type="spellEnd"/>
      <w:r>
        <w:rPr>
          <w:spacing w:val="-2"/>
          <w:sz w:val="24"/>
          <w:szCs w:val="24"/>
        </w:rPr>
        <w:t xml:space="preserve"> АЭС);</w:t>
      </w:r>
    </w:p>
    <w:p w:rsidR="00966D38" w:rsidRDefault="00966D38" w:rsidP="00966D38">
      <w:pPr>
        <w:numPr>
          <w:ilvl w:val="0"/>
          <w:numId w:val="1"/>
        </w:numPr>
        <w:tabs>
          <w:tab w:val="left" w:pos="993"/>
        </w:tabs>
        <w:ind w:left="0" w:firstLine="85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рекомендации МАГАТЭ - технический доклад </w:t>
      </w:r>
      <w:r>
        <w:rPr>
          <w:spacing w:val="-2"/>
          <w:sz w:val="24"/>
          <w:szCs w:val="24"/>
          <w:lang w:val="en-US"/>
        </w:rPr>
        <w:t>IAEA</w:t>
      </w:r>
      <w:r>
        <w:rPr>
          <w:spacing w:val="-2"/>
          <w:sz w:val="24"/>
          <w:szCs w:val="24"/>
        </w:rPr>
        <w:t>-</w:t>
      </w:r>
      <w:r>
        <w:rPr>
          <w:spacing w:val="-2"/>
          <w:sz w:val="24"/>
          <w:szCs w:val="24"/>
          <w:lang w:val="en-US"/>
        </w:rPr>
        <w:t>TECDOC</w:t>
      </w:r>
      <w:r>
        <w:rPr>
          <w:spacing w:val="-2"/>
          <w:sz w:val="24"/>
          <w:szCs w:val="24"/>
        </w:rPr>
        <w:t xml:space="preserve">-953, на котором базируется Методика, в настоящее время доработан и издан на русском языке в рамках Серии публикаций МАГАТЭ по аварийной готовности и реагированию в виде </w:t>
      </w:r>
      <w:r>
        <w:rPr>
          <w:spacing w:val="-2"/>
          <w:sz w:val="24"/>
          <w:szCs w:val="24"/>
        </w:rPr>
        <w:lastRenderedPageBreak/>
        <w:t>документа EPR-</w:t>
      </w:r>
      <w:r>
        <w:rPr>
          <w:spacing w:val="-2"/>
          <w:sz w:val="24"/>
          <w:szCs w:val="24"/>
          <w:lang w:val="en-US"/>
        </w:rPr>
        <w:t>METHOD</w:t>
      </w:r>
      <w:r>
        <w:rPr>
          <w:spacing w:val="-2"/>
          <w:sz w:val="24"/>
          <w:szCs w:val="24"/>
        </w:rPr>
        <w:t xml:space="preserve"> 2003.  </w:t>
      </w:r>
      <w:r>
        <w:rPr>
          <w:bCs/>
          <w:sz w:val="24"/>
          <w:szCs w:val="24"/>
        </w:rPr>
        <w:t xml:space="preserve">При этом </w:t>
      </w:r>
      <w:r>
        <w:rPr>
          <w:spacing w:val="-2"/>
          <w:sz w:val="24"/>
          <w:szCs w:val="24"/>
        </w:rPr>
        <w:t>в EPR-</w:t>
      </w:r>
      <w:r>
        <w:rPr>
          <w:spacing w:val="-2"/>
          <w:sz w:val="24"/>
          <w:szCs w:val="24"/>
          <w:lang w:val="en-US"/>
        </w:rPr>
        <w:t>METHOD</w:t>
      </w:r>
      <w:r>
        <w:rPr>
          <w:spacing w:val="-2"/>
          <w:sz w:val="24"/>
          <w:szCs w:val="24"/>
        </w:rPr>
        <w:t xml:space="preserve"> 2003 по сравнению с </w:t>
      </w:r>
      <w:r>
        <w:rPr>
          <w:spacing w:val="-2"/>
          <w:sz w:val="24"/>
          <w:szCs w:val="24"/>
          <w:lang w:val="en-US"/>
        </w:rPr>
        <w:t>IAEA</w:t>
      </w:r>
      <w:r>
        <w:rPr>
          <w:spacing w:val="-2"/>
          <w:sz w:val="24"/>
          <w:szCs w:val="24"/>
        </w:rPr>
        <w:t>-</w:t>
      </w:r>
      <w:r>
        <w:rPr>
          <w:spacing w:val="-2"/>
          <w:sz w:val="24"/>
          <w:szCs w:val="24"/>
          <w:lang w:val="en-US"/>
        </w:rPr>
        <w:t>TECDOC</w:t>
      </w:r>
      <w:r>
        <w:rPr>
          <w:spacing w:val="-2"/>
          <w:sz w:val="24"/>
          <w:szCs w:val="24"/>
        </w:rPr>
        <w:t>-953 уточнены рекомендации относительно установления размеров зон противоаварийного планирования.</w:t>
      </w:r>
    </w:p>
    <w:p w:rsidR="00966D38" w:rsidRDefault="00966D38" w:rsidP="00966D38">
      <w:pPr>
        <w:ind w:firstLine="85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Следует отметить, что в действующих НТД (НП-32-01) не приводятся конкретные уровни облучения, по которым определяется ЗПЗМ, что приводит к произвольному толкованию определений НТД проектировщиками АЭС и организациями, осуществляющими лицензирование работ в атомной энергетике и, соответственно, неоднозначности при определении радиуса ЗПЗМ. Также нет однозначности в вопросе об учете доз облучения от загрязненных пищевых продуктов при определении радиуса ЗПЗМ.</w:t>
      </w:r>
    </w:p>
    <w:p w:rsidR="00966D38" w:rsidRDefault="00966D38" w:rsidP="00966D38">
      <w:pPr>
        <w:ind w:firstLine="85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При разработке методики необходимо проанализировать возможность снятия излишнего консерватизма в определении ЗПЗМ</w:t>
      </w:r>
    </w:p>
    <w:p w:rsidR="00966D38" w:rsidRDefault="00966D38" w:rsidP="00966D38">
      <w:pPr>
        <w:ind w:firstLine="85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Таким образом, необходимо разработать Методику </w:t>
      </w:r>
      <w:proofErr w:type="gramStart"/>
      <w:r>
        <w:rPr>
          <w:spacing w:val="-2"/>
          <w:sz w:val="24"/>
          <w:szCs w:val="24"/>
        </w:rPr>
        <w:t>определения размеров зон планирования мероприятий</w:t>
      </w:r>
      <w:proofErr w:type="gramEnd"/>
      <w:r>
        <w:rPr>
          <w:spacing w:val="-2"/>
          <w:sz w:val="24"/>
          <w:szCs w:val="24"/>
        </w:rPr>
        <w:t xml:space="preserve"> в случае радиационной аварии на АЭС, область применения которой охватывает проектируемые и строящиеся АЭС, с учетом требований действующих нормативных документов, последних рекомендаций МАГАТЭ и МКРЗ, анализа системы планирования защитных мероприятий в ведущих странах мира, развивающих ядерную энергетику. При разработке Методики должен быть учтен опыт организации и проведения мероприятий по защите населения в результате аварии на АЭС «Фукусима-1» (март 2011).</w:t>
      </w:r>
    </w:p>
    <w:p w:rsidR="00966D38" w:rsidRDefault="00966D38" w:rsidP="00966D38">
      <w:pPr>
        <w:ind w:firstLine="85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Необходимо также проанализировать возможность снятия излишнего консерватизма в определении ЗПЗМ на основе принятых в проектах АЭС сценариев аварий.</w:t>
      </w:r>
    </w:p>
    <w:p w:rsidR="00966D38" w:rsidRDefault="00966D38" w:rsidP="00966D38">
      <w:pPr>
        <w:shd w:val="clear" w:color="auto" w:fill="FFFFFF"/>
        <w:tabs>
          <w:tab w:val="left" w:pos="567"/>
          <w:tab w:val="num" w:pos="1080"/>
        </w:tabs>
        <w:adjustRightInd w:val="0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</w:t>
      </w:r>
      <w:r>
        <w:rPr>
          <w:color w:val="000000"/>
          <w:sz w:val="24"/>
          <w:szCs w:val="24"/>
        </w:rPr>
        <w:tab/>
        <w:t>Исходные данные для выполнения работ:</w:t>
      </w:r>
    </w:p>
    <w:p w:rsidR="00966D38" w:rsidRDefault="00966D38" w:rsidP="00966D38">
      <w:pPr>
        <w:widowControl/>
        <w:numPr>
          <w:ilvl w:val="0"/>
          <w:numId w:val="2"/>
        </w:numPr>
        <w:shd w:val="clear" w:color="auto" w:fill="FFFFFF"/>
        <w:tabs>
          <w:tab w:val="left" w:pos="567"/>
          <w:tab w:val="num" w:pos="851"/>
        </w:tabs>
        <w:adjustRightInd w:val="0"/>
        <w:ind w:left="0" w:firstLine="851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EPR-</w:t>
      </w:r>
      <w:r>
        <w:rPr>
          <w:spacing w:val="-2"/>
          <w:sz w:val="24"/>
          <w:szCs w:val="24"/>
          <w:lang w:val="en-US"/>
        </w:rPr>
        <w:t>METHOD</w:t>
      </w:r>
      <w:r>
        <w:rPr>
          <w:spacing w:val="-2"/>
          <w:sz w:val="24"/>
          <w:szCs w:val="24"/>
        </w:rPr>
        <w:t xml:space="preserve"> 2003 «</w:t>
      </w:r>
      <w:r>
        <w:rPr>
          <w:bCs/>
          <w:sz w:val="24"/>
          <w:szCs w:val="24"/>
        </w:rPr>
        <w:t>Методика разработки мероприятий по реагированию на ядерную или радиологическую аварийную ситуацию»</w:t>
      </w:r>
      <w:r>
        <w:rPr>
          <w:sz w:val="24"/>
          <w:szCs w:val="24"/>
        </w:rPr>
        <w:t>;</w:t>
      </w:r>
    </w:p>
    <w:p w:rsidR="00966D38" w:rsidRDefault="00966D38" w:rsidP="00966D38">
      <w:pPr>
        <w:widowControl/>
        <w:numPr>
          <w:ilvl w:val="0"/>
          <w:numId w:val="2"/>
        </w:numPr>
        <w:shd w:val="clear" w:color="auto" w:fill="FFFFFF"/>
        <w:tabs>
          <w:tab w:val="left" w:pos="567"/>
          <w:tab w:val="num" w:pos="851"/>
        </w:tabs>
        <w:adjustRightInd w:val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Перечень и сценарии тяжелых аварий для определения зон планирования защитных мероприятий проектируемых и строящихся АЭС.</w:t>
      </w:r>
    </w:p>
    <w:p w:rsidR="00966D38" w:rsidRDefault="00966D38" w:rsidP="00966D38">
      <w:pPr>
        <w:widowControl/>
        <w:numPr>
          <w:ilvl w:val="0"/>
          <w:numId w:val="2"/>
        </w:numPr>
        <w:shd w:val="clear" w:color="auto" w:fill="FFFFFF"/>
        <w:tabs>
          <w:tab w:val="left" w:pos="567"/>
          <w:tab w:val="num" w:pos="851"/>
        </w:tabs>
        <w:adjustRightInd w:val="0"/>
        <w:ind w:left="0" w:firstLine="851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Проектная документация с результатами анализа возможных радиационных аварий для проектируемых и строящихся АЭС.</w:t>
      </w:r>
    </w:p>
    <w:p w:rsidR="00966D38" w:rsidRDefault="00966D38" w:rsidP="00966D38">
      <w:pPr>
        <w:widowControl/>
        <w:shd w:val="clear" w:color="auto" w:fill="FFFFFF"/>
        <w:tabs>
          <w:tab w:val="left" w:pos="567"/>
        </w:tabs>
        <w:adjustRightInd w:val="0"/>
        <w:jc w:val="both"/>
        <w:rPr>
          <w:b/>
          <w:sz w:val="24"/>
          <w:szCs w:val="24"/>
        </w:rPr>
      </w:pPr>
    </w:p>
    <w:p w:rsidR="00966D38" w:rsidRDefault="00966D38" w:rsidP="00966D38">
      <w:pPr>
        <w:widowControl/>
        <w:shd w:val="clear" w:color="auto" w:fill="FFFFFF"/>
        <w:tabs>
          <w:tab w:val="left" w:pos="567"/>
        </w:tabs>
        <w:adjustRightInd w:val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   Основные  требования  к выполнению работ: </w:t>
      </w:r>
    </w:p>
    <w:p w:rsidR="00966D38" w:rsidRDefault="00966D38" w:rsidP="00966D38">
      <w:pPr>
        <w:tabs>
          <w:tab w:val="left" w:pos="993"/>
        </w:tabs>
        <w:ind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5.1</w:t>
      </w:r>
      <w:proofErr w:type="gramStart"/>
      <w:r>
        <w:rPr>
          <w:color w:val="000000"/>
          <w:sz w:val="24"/>
          <w:szCs w:val="24"/>
        </w:rPr>
        <w:tab/>
      </w:r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рамках настоящего договора должны быть выполнены следующие работы:</w:t>
      </w:r>
    </w:p>
    <w:p w:rsidR="00966D38" w:rsidRDefault="00966D38" w:rsidP="00966D38">
      <w:pPr>
        <w:tabs>
          <w:tab w:val="left" w:pos="993"/>
        </w:tabs>
        <w:ind w:firstLine="851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5.1.1 Анализ мировой практики, рекомендаций МАГАТЭ и МКРЗ по установлению</w:t>
      </w:r>
      <w:r>
        <w:rPr>
          <w:bCs/>
          <w:sz w:val="24"/>
          <w:szCs w:val="24"/>
        </w:rPr>
        <w:t xml:space="preserve"> зон планирования защитных мероприятий в случае радиационной аварии на АЭС.</w:t>
      </w:r>
    </w:p>
    <w:p w:rsidR="00966D38" w:rsidRDefault="00966D38" w:rsidP="00966D38">
      <w:pPr>
        <w:tabs>
          <w:tab w:val="left" w:pos="993"/>
        </w:tabs>
        <w:ind w:firstLine="851"/>
        <w:jc w:val="both"/>
        <w:rPr>
          <w:bCs/>
          <w:sz w:val="24"/>
          <w:szCs w:val="24"/>
        </w:rPr>
      </w:pPr>
      <w:r>
        <w:rPr>
          <w:spacing w:val="-2"/>
          <w:sz w:val="24"/>
          <w:szCs w:val="24"/>
        </w:rPr>
        <w:t>5.1.2 Анализ опыта организации и проведения мероприятий по защите населения в результате аварии на АЭС «Фукусима-1» (март 2011), в т.ч. использование установленных в соответствии с законодательством Японии зон планирования защитных мероприятий.</w:t>
      </w:r>
    </w:p>
    <w:p w:rsidR="00966D38" w:rsidRDefault="00966D38" w:rsidP="00966D38">
      <w:pPr>
        <w:tabs>
          <w:tab w:val="left" w:pos="993"/>
        </w:tabs>
        <w:ind w:firstLine="85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5.1.3 Выбор и обоснование моделей расчета и исходных данных для расчета зон планирования защитных мероприятий.</w:t>
      </w:r>
    </w:p>
    <w:p w:rsidR="00966D38" w:rsidRDefault="00966D38" w:rsidP="00966D38">
      <w:pPr>
        <w:tabs>
          <w:tab w:val="left" w:pos="993"/>
        </w:tabs>
        <w:ind w:firstLine="851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5.1.4 Разработка «</w:t>
      </w:r>
      <w:r>
        <w:rPr>
          <w:spacing w:val="-5"/>
          <w:sz w:val="24"/>
          <w:szCs w:val="24"/>
        </w:rPr>
        <w:t>М</w:t>
      </w:r>
      <w:r>
        <w:rPr>
          <w:bCs/>
          <w:sz w:val="24"/>
          <w:szCs w:val="24"/>
        </w:rPr>
        <w:t>етодики определения зон планирования защитных мероприятий в случае радиационной аварии на АЭС».</w:t>
      </w:r>
    </w:p>
    <w:p w:rsidR="00966D38" w:rsidRDefault="00966D38" w:rsidP="00966D38">
      <w:pPr>
        <w:tabs>
          <w:tab w:val="left" w:pos="993"/>
        </w:tabs>
        <w:ind w:firstLine="851"/>
        <w:jc w:val="both"/>
        <w:rPr>
          <w:bCs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5.1.5 Согласование «</w:t>
      </w:r>
      <w:r>
        <w:rPr>
          <w:spacing w:val="-5"/>
          <w:sz w:val="24"/>
          <w:szCs w:val="24"/>
        </w:rPr>
        <w:t>М</w:t>
      </w:r>
      <w:r>
        <w:rPr>
          <w:bCs/>
          <w:sz w:val="24"/>
          <w:szCs w:val="24"/>
        </w:rPr>
        <w:t xml:space="preserve">етодики определения зон планирования защитных мероприятий в случае радиационной аварии на АЭС» с Федеральным медико-биологическим агентством (ФМБА России), Федеральной службой по гидрометеорологии и мониторингу окружающей среды (Росгидромет) и с ОАО «ВНИИАЭС», которое по приказу ОАО «Концерн </w:t>
      </w:r>
      <w:proofErr w:type="spellStart"/>
      <w:r>
        <w:rPr>
          <w:bCs/>
          <w:sz w:val="24"/>
          <w:szCs w:val="24"/>
        </w:rPr>
        <w:t>Росэнергоатом</w:t>
      </w:r>
      <w:proofErr w:type="spellEnd"/>
      <w:r>
        <w:rPr>
          <w:bCs/>
          <w:sz w:val="24"/>
          <w:szCs w:val="24"/>
        </w:rPr>
        <w:t xml:space="preserve">» № 9/667-П от 25.05.2011 г. выполняет функции научного руководителя эксплуатации атомных станций ОАО «Концерн </w:t>
      </w:r>
      <w:proofErr w:type="spellStart"/>
      <w:r>
        <w:rPr>
          <w:bCs/>
          <w:sz w:val="24"/>
          <w:szCs w:val="24"/>
        </w:rPr>
        <w:t>Росэнергоатом</w:t>
      </w:r>
      <w:proofErr w:type="spellEnd"/>
      <w:r>
        <w:rPr>
          <w:bCs/>
          <w:sz w:val="24"/>
          <w:szCs w:val="24"/>
        </w:rPr>
        <w:t>», в том числе по выполнению работ</w:t>
      </w:r>
      <w:proofErr w:type="gramEnd"/>
      <w:r>
        <w:rPr>
          <w:bCs/>
          <w:sz w:val="24"/>
          <w:szCs w:val="24"/>
        </w:rPr>
        <w:t xml:space="preserve">, </w:t>
      </w:r>
      <w:proofErr w:type="gramStart"/>
      <w:r>
        <w:rPr>
          <w:bCs/>
          <w:sz w:val="24"/>
          <w:szCs w:val="24"/>
        </w:rPr>
        <w:t>направленных</w:t>
      </w:r>
      <w:proofErr w:type="gramEnd"/>
      <w:r>
        <w:rPr>
          <w:bCs/>
          <w:sz w:val="24"/>
          <w:szCs w:val="24"/>
        </w:rPr>
        <w:t xml:space="preserve"> на безопасное производство электрической и тепловой энергии. </w:t>
      </w:r>
    </w:p>
    <w:p w:rsidR="00966D38" w:rsidRDefault="00966D38" w:rsidP="00966D38">
      <w:pPr>
        <w:tabs>
          <w:tab w:val="left" w:pos="993"/>
        </w:tabs>
        <w:ind w:firstLine="85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5.1.7 Расчет и обоснование размеров зон планирования защитных мероприятий в случае радиационной аварии для НВАЭС-2, ЛАЭС-2.</w:t>
      </w:r>
    </w:p>
    <w:p w:rsidR="00966D38" w:rsidRDefault="00966D38" w:rsidP="00966D38">
      <w:pPr>
        <w:tabs>
          <w:tab w:val="left" w:pos="993"/>
        </w:tabs>
        <w:ind w:firstLine="851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5.2</w:t>
      </w:r>
      <w:r>
        <w:rPr>
          <w:spacing w:val="-5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Работы должны проводиться в соответствии с требованиями действующих в Российской Федерации законов, стандартов, правил и норм, а также отраслевой </w:t>
      </w:r>
      <w:r>
        <w:rPr>
          <w:color w:val="000000"/>
          <w:sz w:val="24"/>
          <w:szCs w:val="24"/>
        </w:rPr>
        <w:lastRenderedPageBreak/>
        <w:t>нормативной и технической документации</w:t>
      </w:r>
      <w:r>
        <w:rPr>
          <w:spacing w:val="-5"/>
          <w:sz w:val="24"/>
          <w:szCs w:val="24"/>
        </w:rPr>
        <w:t>.</w:t>
      </w:r>
    </w:p>
    <w:p w:rsidR="00966D38" w:rsidRDefault="00966D38" w:rsidP="00966D38">
      <w:pPr>
        <w:pStyle w:val="a5"/>
        <w:tabs>
          <w:tab w:val="left" w:pos="1134"/>
        </w:tabs>
        <w:ind w:firstLine="851"/>
        <w:outlineLvl w:val="0"/>
        <w:rPr>
          <w:b/>
          <w:sz w:val="24"/>
        </w:rPr>
      </w:pPr>
    </w:p>
    <w:p w:rsidR="00966D38" w:rsidRDefault="00966D38" w:rsidP="00966D38">
      <w:pPr>
        <w:pStyle w:val="a5"/>
        <w:tabs>
          <w:tab w:val="left" w:pos="1134"/>
        </w:tabs>
        <w:ind w:firstLine="851"/>
        <w:outlineLvl w:val="0"/>
        <w:rPr>
          <w:b/>
          <w:sz w:val="24"/>
        </w:rPr>
      </w:pPr>
    </w:p>
    <w:p w:rsidR="00966D38" w:rsidRDefault="00966D38" w:rsidP="00966D38">
      <w:pPr>
        <w:pStyle w:val="a5"/>
        <w:tabs>
          <w:tab w:val="left" w:pos="1134"/>
        </w:tabs>
        <w:ind w:firstLine="851"/>
        <w:outlineLvl w:val="0"/>
        <w:rPr>
          <w:b/>
          <w:sz w:val="24"/>
        </w:rPr>
      </w:pPr>
    </w:p>
    <w:p w:rsidR="00966D38" w:rsidRDefault="00966D38" w:rsidP="00966D38">
      <w:pPr>
        <w:pStyle w:val="a5"/>
        <w:tabs>
          <w:tab w:val="left" w:pos="1134"/>
        </w:tabs>
        <w:ind w:firstLine="851"/>
        <w:outlineLvl w:val="0"/>
        <w:rPr>
          <w:b/>
          <w:sz w:val="24"/>
        </w:rPr>
      </w:pPr>
    </w:p>
    <w:p w:rsidR="00966D38" w:rsidRDefault="00966D38" w:rsidP="00966D38">
      <w:pPr>
        <w:pStyle w:val="a5"/>
        <w:tabs>
          <w:tab w:val="left" w:pos="1134"/>
        </w:tabs>
        <w:ind w:firstLine="851"/>
        <w:outlineLvl w:val="0"/>
        <w:rPr>
          <w:b/>
          <w:sz w:val="24"/>
        </w:rPr>
      </w:pPr>
    </w:p>
    <w:p w:rsidR="00966D38" w:rsidRDefault="00966D38" w:rsidP="00966D38">
      <w:pPr>
        <w:pStyle w:val="a5"/>
        <w:tabs>
          <w:tab w:val="left" w:pos="1134"/>
        </w:tabs>
        <w:ind w:firstLine="851"/>
        <w:outlineLvl w:val="0"/>
        <w:rPr>
          <w:b/>
          <w:sz w:val="24"/>
        </w:rPr>
      </w:pPr>
    </w:p>
    <w:p w:rsidR="00966D38" w:rsidRDefault="00966D38" w:rsidP="00966D38">
      <w:pPr>
        <w:pStyle w:val="a5"/>
        <w:tabs>
          <w:tab w:val="left" w:pos="1134"/>
        </w:tabs>
        <w:ind w:firstLine="851"/>
        <w:outlineLvl w:val="0"/>
        <w:rPr>
          <w:b/>
          <w:sz w:val="24"/>
        </w:rPr>
      </w:pPr>
      <w:r>
        <w:rPr>
          <w:b/>
          <w:sz w:val="24"/>
        </w:rPr>
        <w:t>6   Место внедрения и способ применения выполненных работ</w:t>
      </w:r>
    </w:p>
    <w:p w:rsidR="00966D38" w:rsidRDefault="00966D38" w:rsidP="00966D38">
      <w:pPr>
        <w:ind w:firstLine="851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Результаты работы используются проектно-конструкторским филиалом ОАО «Концерн </w:t>
      </w:r>
      <w:proofErr w:type="spellStart"/>
      <w:r>
        <w:rPr>
          <w:sz w:val="24"/>
          <w:szCs w:val="24"/>
        </w:rPr>
        <w:t>Росэнергоатом</w:t>
      </w:r>
      <w:proofErr w:type="spellEnd"/>
      <w:r>
        <w:rPr>
          <w:sz w:val="24"/>
          <w:szCs w:val="24"/>
        </w:rPr>
        <w:t xml:space="preserve">» для установления </w:t>
      </w:r>
      <w:r>
        <w:rPr>
          <w:bCs/>
          <w:sz w:val="24"/>
          <w:szCs w:val="24"/>
        </w:rPr>
        <w:t>зон планирования защитных мероприятий для НВАЭС-2, ЛАЭС-2</w:t>
      </w:r>
    </w:p>
    <w:p w:rsidR="00966D38" w:rsidRDefault="00966D38" w:rsidP="00966D38">
      <w:pPr>
        <w:ind w:firstLine="851"/>
        <w:jc w:val="both"/>
        <w:rPr>
          <w:sz w:val="24"/>
          <w:szCs w:val="24"/>
        </w:rPr>
      </w:pPr>
    </w:p>
    <w:p w:rsidR="00966D38" w:rsidRDefault="00966D38" w:rsidP="00966D38">
      <w:pPr>
        <w:pStyle w:val="a5"/>
        <w:ind w:firstLine="851"/>
        <w:outlineLvl w:val="0"/>
        <w:rPr>
          <w:b/>
          <w:sz w:val="24"/>
        </w:rPr>
      </w:pPr>
      <w:r>
        <w:rPr>
          <w:b/>
          <w:sz w:val="24"/>
        </w:rPr>
        <w:t>7   Перечень документации, представляемой по окончании работ</w:t>
      </w:r>
    </w:p>
    <w:p w:rsidR="00966D38" w:rsidRDefault="00966D38" w:rsidP="00966D38">
      <w:pPr>
        <w:ind w:firstLine="851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 завершении работ </w:t>
      </w:r>
      <w:r>
        <w:rPr>
          <w:b/>
          <w:bCs/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представляет </w:t>
      </w:r>
      <w:r>
        <w:rPr>
          <w:b/>
          <w:bCs/>
          <w:sz w:val="24"/>
          <w:szCs w:val="24"/>
        </w:rPr>
        <w:t xml:space="preserve">Заказчику документацию </w:t>
      </w:r>
      <w:r>
        <w:rPr>
          <w:bCs/>
          <w:sz w:val="24"/>
          <w:szCs w:val="24"/>
        </w:rPr>
        <w:t>в соответствие с календарным планом приложение 2 к договору.</w:t>
      </w:r>
    </w:p>
    <w:p w:rsidR="00966D38" w:rsidRDefault="00966D38" w:rsidP="00966D38">
      <w:pPr>
        <w:ind w:firstLine="851"/>
        <w:jc w:val="both"/>
        <w:rPr>
          <w:sz w:val="24"/>
          <w:szCs w:val="24"/>
        </w:rPr>
      </w:pPr>
    </w:p>
    <w:p w:rsidR="00966D38" w:rsidRDefault="00966D38" w:rsidP="00966D38">
      <w:pPr>
        <w:pStyle w:val="a5"/>
        <w:ind w:firstLine="851"/>
        <w:outlineLvl w:val="0"/>
        <w:rPr>
          <w:b/>
          <w:sz w:val="24"/>
        </w:rPr>
      </w:pPr>
      <w:r>
        <w:rPr>
          <w:b/>
          <w:sz w:val="24"/>
        </w:rPr>
        <w:t xml:space="preserve">8   Порядок приема и передачи работ: </w:t>
      </w:r>
    </w:p>
    <w:p w:rsidR="00966D38" w:rsidRDefault="00966D38" w:rsidP="00966D38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Приемка работ производится на основании актов сдачи-приемки выполненных работ в соответствии с календарным планом к договору.</w:t>
      </w:r>
    </w:p>
    <w:p w:rsidR="00966D38" w:rsidRDefault="00966D38" w:rsidP="00966D38">
      <w:pPr>
        <w:ind w:firstLine="851"/>
        <w:jc w:val="both"/>
        <w:rPr>
          <w:sz w:val="24"/>
          <w:szCs w:val="24"/>
        </w:rPr>
      </w:pPr>
    </w:p>
    <w:p w:rsidR="00966D38" w:rsidRDefault="00966D38" w:rsidP="00966D38">
      <w:pPr>
        <w:pStyle w:val="a5"/>
        <w:ind w:firstLine="851"/>
        <w:outlineLvl w:val="0"/>
        <w:rPr>
          <w:b/>
          <w:sz w:val="24"/>
        </w:rPr>
      </w:pPr>
      <w:r>
        <w:rPr>
          <w:b/>
          <w:sz w:val="24"/>
        </w:rPr>
        <w:t>9   Ожидаемый экономический эффект от внедрения результатов работ</w:t>
      </w:r>
    </w:p>
    <w:p w:rsidR="00966D38" w:rsidRDefault="00966D38" w:rsidP="00966D38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Работы направлены на повышение радиационной безопасности  населения в случае авар</w:t>
      </w:r>
      <w:proofErr w:type="gramStart"/>
      <w:r>
        <w:rPr>
          <w:sz w:val="24"/>
          <w:szCs w:val="24"/>
        </w:rPr>
        <w:t>ии АЭ</w:t>
      </w:r>
      <w:proofErr w:type="gramEnd"/>
      <w:r>
        <w:rPr>
          <w:sz w:val="24"/>
          <w:szCs w:val="24"/>
        </w:rPr>
        <w:t>С</w:t>
      </w:r>
      <w:r>
        <w:rPr>
          <w:color w:val="000000"/>
          <w:sz w:val="24"/>
          <w:szCs w:val="24"/>
        </w:rPr>
        <w:t xml:space="preserve"> и не требует экономического обоснования</w:t>
      </w:r>
      <w:r>
        <w:rPr>
          <w:sz w:val="24"/>
          <w:szCs w:val="24"/>
        </w:rPr>
        <w:t>.</w:t>
      </w:r>
    </w:p>
    <w:p w:rsidR="00966D38" w:rsidRDefault="00966D38" w:rsidP="00966D38">
      <w:pPr>
        <w:ind w:firstLine="851"/>
        <w:jc w:val="both"/>
        <w:rPr>
          <w:sz w:val="24"/>
          <w:szCs w:val="24"/>
        </w:rPr>
      </w:pPr>
    </w:p>
    <w:p w:rsidR="00966D38" w:rsidRDefault="00966D38" w:rsidP="00966D38">
      <w:pPr>
        <w:ind w:firstLine="851"/>
        <w:jc w:val="both"/>
        <w:rPr>
          <w:sz w:val="24"/>
          <w:szCs w:val="24"/>
        </w:rPr>
      </w:pPr>
    </w:p>
    <w:tbl>
      <w:tblPr>
        <w:tblW w:w="9765" w:type="dxa"/>
        <w:tblLayout w:type="fixed"/>
        <w:tblLook w:val="04A0"/>
      </w:tblPr>
      <w:tblGrid>
        <w:gridCol w:w="4411"/>
        <w:gridCol w:w="376"/>
        <w:gridCol w:w="4978"/>
      </w:tblGrid>
      <w:tr w:rsidR="00966D38" w:rsidTr="00966D38">
        <w:trPr>
          <w:trHeight w:val="454"/>
        </w:trPr>
        <w:tc>
          <w:tcPr>
            <w:tcW w:w="4410" w:type="dxa"/>
            <w:vAlign w:val="center"/>
          </w:tcPr>
          <w:p w:rsidR="00966D38" w:rsidRDefault="00966D38">
            <w:pPr>
              <w:pStyle w:val="2"/>
              <w:jc w:val="both"/>
            </w:pPr>
          </w:p>
        </w:tc>
        <w:tc>
          <w:tcPr>
            <w:tcW w:w="376" w:type="dxa"/>
            <w:vAlign w:val="center"/>
          </w:tcPr>
          <w:p w:rsidR="00966D38" w:rsidRDefault="00966D38">
            <w:pPr>
              <w:pStyle w:val="2"/>
              <w:jc w:val="both"/>
            </w:pPr>
          </w:p>
        </w:tc>
        <w:tc>
          <w:tcPr>
            <w:tcW w:w="4976" w:type="dxa"/>
            <w:vAlign w:val="center"/>
            <w:hideMark/>
          </w:tcPr>
          <w:p w:rsidR="00966D38" w:rsidRDefault="00966D38">
            <w:pPr>
              <w:pStyle w:val="2"/>
              <w:jc w:val="both"/>
            </w:pPr>
            <w:r>
              <w:t>От Заказчика:</w:t>
            </w:r>
          </w:p>
        </w:tc>
      </w:tr>
      <w:tr w:rsidR="00966D38" w:rsidTr="00966D38">
        <w:trPr>
          <w:trHeight w:val="962"/>
        </w:trPr>
        <w:tc>
          <w:tcPr>
            <w:tcW w:w="4410" w:type="dxa"/>
          </w:tcPr>
          <w:p w:rsidR="00966D38" w:rsidRDefault="00966D38">
            <w:pPr>
              <w:pStyle w:val="a3"/>
              <w:tabs>
                <w:tab w:val="left" w:pos="708"/>
              </w:tabs>
              <w:rPr>
                <w:sz w:val="24"/>
                <w:szCs w:val="24"/>
              </w:rPr>
            </w:pPr>
          </w:p>
        </w:tc>
        <w:tc>
          <w:tcPr>
            <w:tcW w:w="376" w:type="dxa"/>
          </w:tcPr>
          <w:p w:rsidR="00966D38" w:rsidRDefault="00966D38">
            <w:pPr>
              <w:pStyle w:val="3"/>
              <w:ind w:right="0" w:firstLine="851"/>
              <w:jc w:val="both"/>
              <w:rPr>
                <w:sz w:val="24"/>
              </w:rPr>
            </w:pPr>
          </w:p>
        </w:tc>
        <w:tc>
          <w:tcPr>
            <w:tcW w:w="4976" w:type="dxa"/>
          </w:tcPr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  <w:r>
              <w:rPr>
                <w:sz w:val="24"/>
              </w:rPr>
              <w:t>Технический директор</w:t>
            </w: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В.В. </w:t>
            </w:r>
            <w:proofErr w:type="spellStart"/>
            <w:r>
              <w:rPr>
                <w:sz w:val="24"/>
              </w:rPr>
              <w:t>Семишин</w:t>
            </w:r>
            <w:proofErr w:type="spellEnd"/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  <w:r>
              <w:rPr>
                <w:sz w:val="24"/>
              </w:rPr>
              <w:t>Начальник Центра управления результатами</w:t>
            </w: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  <w:r>
              <w:rPr>
                <w:sz w:val="24"/>
              </w:rPr>
              <w:t>Интеллектуальной деятельности</w:t>
            </w: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В.И. Алексеев</w:t>
            </w: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  <w:r>
              <w:rPr>
                <w:sz w:val="24"/>
              </w:rPr>
              <w:t>Главный специалист</w:t>
            </w: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</w:p>
          <w:p w:rsidR="00966D38" w:rsidRDefault="00966D38">
            <w:pPr>
              <w:pStyle w:val="3"/>
              <w:ind w:righ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А.Ю.Максимов</w:t>
            </w:r>
          </w:p>
        </w:tc>
      </w:tr>
      <w:tr w:rsidR="00966D38" w:rsidTr="00966D38">
        <w:trPr>
          <w:trHeight w:val="80"/>
        </w:trPr>
        <w:tc>
          <w:tcPr>
            <w:tcW w:w="4410" w:type="dxa"/>
          </w:tcPr>
          <w:p w:rsidR="00966D38" w:rsidRDefault="00966D38">
            <w:pPr>
              <w:pStyle w:val="a3"/>
              <w:tabs>
                <w:tab w:val="left" w:pos="708"/>
              </w:tabs>
              <w:ind w:firstLine="851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76" w:type="dxa"/>
          </w:tcPr>
          <w:p w:rsidR="00966D38" w:rsidRDefault="00966D38">
            <w:pPr>
              <w:pStyle w:val="2"/>
              <w:ind w:firstLine="851"/>
              <w:jc w:val="both"/>
              <w:rPr>
                <w:b w:val="0"/>
                <w:bCs w:val="0"/>
              </w:rPr>
            </w:pPr>
          </w:p>
        </w:tc>
        <w:tc>
          <w:tcPr>
            <w:tcW w:w="4976" w:type="dxa"/>
          </w:tcPr>
          <w:p w:rsidR="00966D38" w:rsidRDefault="00966D38">
            <w:pPr>
              <w:pStyle w:val="3"/>
              <w:ind w:right="0" w:firstLine="851"/>
              <w:jc w:val="both"/>
              <w:rPr>
                <w:sz w:val="24"/>
              </w:rPr>
            </w:pPr>
          </w:p>
        </w:tc>
      </w:tr>
      <w:tr w:rsidR="00966D38" w:rsidTr="00966D38">
        <w:trPr>
          <w:trHeight w:val="80"/>
        </w:trPr>
        <w:tc>
          <w:tcPr>
            <w:tcW w:w="4410" w:type="dxa"/>
          </w:tcPr>
          <w:p w:rsidR="00966D38" w:rsidRDefault="00966D38">
            <w:pPr>
              <w:ind w:firstLine="851"/>
              <w:jc w:val="both"/>
            </w:pPr>
          </w:p>
        </w:tc>
        <w:tc>
          <w:tcPr>
            <w:tcW w:w="376" w:type="dxa"/>
          </w:tcPr>
          <w:p w:rsidR="00966D38" w:rsidRDefault="00966D38">
            <w:pPr>
              <w:pStyle w:val="2"/>
              <w:ind w:firstLine="851"/>
              <w:jc w:val="both"/>
              <w:rPr>
                <w:b w:val="0"/>
                <w:bCs w:val="0"/>
              </w:rPr>
            </w:pPr>
          </w:p>
        </w:tc>
        <w:tc>
          <w:tcPr>
            <w:tcW w:w="4976" w:type="dxa"/>
          </w:tcPr>
          <w:p w:rsidR="00966D38" w:rsidRDefault="00966D38">
            <w:pPr>
              <w:pStyle w:val="3"/>
              <w:ind w:right="0" w:firstLine="851"/>
              <w:jc w:val="both"/>
              <w:rPr>
                <w:b/>
                <w:bCs/>
                <w:sz w:val="24"/>
              </w:rPr>
            </w:pPr>
          </w:p>
        </w:tc>
      </w:tr>
    </w:tbl>
    <w:p w:rsidR="00966D38" w:rsidRDefault="00966D38" w:rsidP="00966D38">
      <w:pPr>
        <w:pStyle w:val="a5"/>
        <w:ind w:firstLine="851"/>
        <w:rPr>
          <w:i/>
          <w:iCs/>
          <w:sz w:val="24"/>
        </w:rPr>
      </w:pPr>
    </w:p>
    <w:p w:rsidR="00966D38" w:rsidRDefault="00966D38" w:rsidP="00966D38">
      <w:pPr>
        <w:outlineLvl w:val="0"/>
      </w:pPr>
    </w:p>
    <w:p w:rsidR="00525FE8" w:rsidRDefault="00525FE8"/>
    <w:sectPr w:rsidR="00525FE8" w:rsidSect="0052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70713"/>
    <w:multiLevelType w:val="hybridMultilevel"/>
    <w:tmpl w:val="40A09F2C"/>
    <w:lvl w:ilvl="0" w:tplc="6D8C2FA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506535"/>
    <w:multiLevelType w:val="hybridMultilevel"/>
    <w:tmpl w:val="ABFC8938"/>
    <w:lvl w:ilvl="0" w:tplc="D4F2CA7C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6D38"/>
    <w:rsid w:val="00525FE8"/>
    <w:rsid w:val="00966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D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66D38"/>
    <w:pPr>
      <w:keepNext/>
      <w:widowControl/>
      <w:jc w:val="center"/>
      <w:outlineLvl w:val="1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966D38"/>
    <w:pPr>
      <w:keepNext/>
      <w:jc w:val="center"/>
      <w:outlineLvl w:val="4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6D3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966D3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unhideWhenUsed/>
    <w:rsid w:val="00966D38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966D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66D38"/>
    <w:pPr>
      <w:jc w:val="both"/>
    </w:pPr>
    <w:rPr>
      <w:szCs w:val="24"/>
    </w:rPr>
  </w:style>
  <w:style w:type="character" w:customStyle="1" w:styleId="a6">
    <w:name w:val="Основной текст Знак"/>
    <w:basedOn w:val="a0"/>
    <w:link w:val="a5"/>
    <w:semiHidden/>
    <w:rsid w:val="00966D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unhideWhenUsed/>
    <w:rsid w:val="00966D38"/>
    <w:pPr>
      <w:ind w:right="935"/>
    </w:pPr>
    <w:rPr>
      <w:szCs w:val="24"/>
    </w:rPr>
  </w:style>
  <w:style w:type="character" w:customStyle="1" w:styleId="30">
    <w:name w:val="Основной текст 3 Знак"/>
    <w:basedOn w:val="a0"/>
    <w:link w:val="3"/>
    <w:rsid w:val="00966D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заголовок 3"/>
    <w:basedOn w:val="a"/>
    <w:next w:val="a"/>
    <w:rsid w:val="00966D38"/>
    <w:pPr>
      <w:keepNext/>
    </w:pPr>
    <w:rPr>
      <w:szCs w:val="24"/>
    </w:rPr>
  </w:style>
  <w:style w:type="paragraph" w:customStyle="1" w:styleId="BodyText3">
    <w:name w:val="Body Text 3"/>
    <w:basedOn w:val="a"/>
    <w:rsid w:val="00966D38"/>
    <w:pPr>
      <w:autoSpaceDE/>
      <w:autoSpaceDN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5576</Characters>
  <Application>Microsoft Office Word</Application>
  <DocSecurity>0</DocSecurity>
  <Lines>46</Lines>
  <Paragraphs>13</Paragraphs>
  <ScaleCrop>false</ScaleCrop>
  <Company/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ushakov-av</dc:creator>
  <cp:keywords/>
  <dc:description/>
  <cp:lastModifiedBy>ushakov-av</cp:lastModifiedBy>
  <cp:revision>2</cp:revision>
  <dcterms:created xsi:type="dcterms:W3CDTF">2012-06-22T07:21:00Z</dcterms:created>
  <dcterms:modified xsi:type="dcterms:W3CDTF">2012-06-22T07:21:00Z</dcterms:modified>
</cp:coreProperties>
</file>