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bookmarkStart w:id="7" w:name="_GoBack"/>
      <w:bookmarkEnd w:id="7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>
      <w:pPr>
        <w:rPr>
          <w:sz w:val="22"/>
          <w:szCs w:val="22"/>
        </w:rPr>
      </w:pPr>
    </w:p>
    <w:p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>
      <w:pPr>
        <w:keepNext/>
        <w:suppressAutoHyphens/>
        <w:jc w:val="center"/>
      </w:pPr>
      <w:r>
        <w:rPr>
          <w:b/>
        </w:rPr>
        <w:t>на поставку</w:t>
      </w:r>
    </w:p>
    <w:p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>
      <w:pPr>
        <w:ind w:left="360"/>
      </w:pPr>
    </w:p>
    <w:p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запроса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</w:p>
    <w:p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наст</w:t>
      </w:r>
      <w:r>
        <w:t>о</w:t>
      </w:r>
      <w:r>
        <w:t>ящему Договору), поставляемые в рамках настоящего Договора.</w:t>
      </w:r>
    </w:p>
    <w:p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наименование Товара (Оборудования) в соответствии с заявкой победителя)</w:t>
      </w:r>
      <w:r>
        <w:t xml:space="preserve"> в обусло</w:t>
      </w:r>
      <w:r>
        <w:t>в</w:t>
      </w:r>
      <w:r>
        <w:t>ленные Договором сроки в соответствии со Спецификацией (Приложение № 1 к насто</w:t>
      </w:r>
      <w:r>
        <w:t>я</w:t>
      </w:r>
      <w:r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>
        <w:t>т</w:t>
      </w:r>
      <w:r>
        <w:t xml:space="preserve">ся оплатить переданный Товар (Оборудование).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</w:t>
      </w:r>
      <w:r>
        <w:t>е</w:t>
      </w:r>
      <w:r>
        <w:t>тьих лиц.</w:t>
      </w:r>
    </w:p>
    <w:p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>
        <w:t>Цена Договора</w:t>
      </w:r>
      <w:bookmarkEnd w:id="27"/>
      <w:bookmarkEnd w:id="28"/>
      <w:bookmarkEnd w:id="29"/>
      <w:bookmarkEnd w:id="30"/>
      <w:bookmarkEnd w:id="31"/>
      <w:bookmarkEnd w:id="32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</w:t>
      </w:r>
      <w:r>
        <w:t>т</w:t>
      </w:r>
      <w:r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>
        <w:t>Права и обязанности сторон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оплату поставленного Товара (Оборудования) в порядке, предусмо</w:t>
      </w:r>
      <w:r>
        <w:t>т</w:t>
      </w:r>
      <w:r>
        <w:t>ренном Разделом 10 настоящего Договора.</w:t>
      </w:r>
    </w:p>
    <w:p>
      <w:pPr>
        <w:pStyle w:val="-"/>
        <w:spacing w:before="240" w:after="60"/>
        <w:outlineLvl w:val="1"/>
      </w:pPr>
      <w:r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 xml:space="preserve">грузок и его длительного хранения. Упаковка Товара (Оборудования) должна полностью </w:t>
      </w:r>
      <w:r>
        <w:lastRenderedPageBreak/>
        <w:t>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(Оборудования) осуществляется Поставщиком Покупателю по адресу, указанному в пункте 5.1.1 настоящего Договора.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>
        <w:t>десяти тонн) и негабаритов).</w:t>
      </w:r>
      <w:proofErr w:type="gramEnd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 (оригиналы, либо надлеж</w:t>
      </w:r>
      <w:r>
        <w:t>а</w:t>
      </w:r>
      <w:r>
        <w:t>щим образом заверенные копии сертификатов безопасности, сертификаты пожарной бе</w:t>
      </w:r>
      <w:r>
        <w:t>з</w:t>
      </w:r>
      <w:r>
        <w:t xml:space="preserve">опасности, сертификаты (или декларации) соответствия и т.д.); 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д) счет-фактуру, оформленный в соответствии со ст. 168-169 НК РФ и товарную накладную в 2-х экз. (один экземпляр для Покупателя и один экземпляр для  Поставщика), либо универсальный передаточный документ.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>
        <w:t>)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(Оборудования) осуществляется в соответствии с законодател</w:t>
      </w:r>
      <w:r>
        <w:t>ь</w:t>
      </w:r>
      <w:r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</w:t>
      </w:r>
      <w:r>
        <w:t>т</w:t>
      </w:r>
      <w:r>
        <w:t>ственности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</w:t>
      </w:r>
      <w:r>
        <w:t>т</w:t>
      </w:r>
      <w:r>
        <w:t>ствии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>
        <w:t>Гаранти</w:t>
      </w:r>
      <w:bookmarkEnd w:id="57"/>
      <w:bookmarkEnd w:id="58"/>
      <w:bookmarkEnd w:id="59"/>
      <w:bookmarkEnd w:id="60"/>
      <w:bookmarkEnd w:id="61"/>
      <w:bookmarkEnd w:id="62"/>
      <w:r>
        <w:t>ЙНЫЕ ОБЯЗАТЕЛЬСТВА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>
        <w:t>и</w:t>
      </w:r>
      <w:r>
        <w:t>онированием, при штатном использовании поставленного Товара (Оборудования) в соо</w:t>
      </w:r>
      <w:r>
        <w:t>т</w:t>
      </w:r>
      <w:r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 (Обор</w:t>
      </w:r>
      <w:r>
        <w:t>у</w:t>
      </w:r>
      <w:r>
        <w:t>дования), безупречное качество изготовления  Товара (Оборудования) и его сборки;</w:t>
      </w:r>
    </w:p>
    <w:p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полное соответствие поставляемого Товара (Оборудования) условиям настоящего Договора;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>
        <w:t>е</w:t>
      </w:r>
      <w:r>
        <w:t>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</w:t>
      </w:r>
      <w:r>
        <w:t>д</w:t>
      </w:r>
      <w:r>
        <w:t>ставителей Поставщика по возникшим проблемам с Товаром (Оборудованием), возмо</w:t>
      </w:r>
      <w:r>
        <w:t>ж</w:t>
      </w:r>
      <w:r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>
        <w:t>Порядок оплаты</w:t>
      </w:r>
      <w:bookmarkEnd w:id="63"/>
      <w:bookmarkEnd w:id="64"/>
      <w:bookmarkEnd w:id="65"/>
      <w:bookmarkEnd w:id="66"/>
      <w:bookmarkEnd w:id="67"/>
      <w:bookmarkEnd w:id="68"/>
    </w:p>
    <w:p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>ту поставки Товара (Оборудования) (партии Товара (Оборудования) в течение 30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>
      <w:pPr>
        <w:pStyle w:val="af7"/>
        <w:tabs>
          <w:tab w:val="clear" w:pos="1701"/>
        </w:tabs>
        <w:spacing w:before="60" w:after="60"/>
        <w:ind w:left="0" w:firstLine="0"/>
      </w:pPr>
    </w:p>
    <w:p>
      <w:pPr>
        <w:pStyle w:val="-"/>
      </w:pPr>
      <w:r>
        <w:lastRenderedPageBreak/>
        <w:t>ответственность сторон</w:t>
      </w:r>
      <w:bookmarkEnd w:id="69"/>
      <w:bookmarkEnd w:id="70"/>
      <w:bookmarkEnd w:id="71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стоимости, недопоставленного в срок Товара (Оборудования), за каждый день просрочки.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ГК «</w:t>
      </w:r>
      <w:proofErr w:type="spellStart"/>
      <w:r>
        <w:t>Росатом</w:t>
      </w:r>
      <w:proofErr w:type="spellEnd"/>
      <w:r>
        <w:t>»  и орг</w:t>
      </w:r>
      <w:r>
        <w:t>а</w:t>
      </w:r>
      <w:r>
        <w:t>низаций ГК «</w:t>
      </w:r>
      <w:proofErr w:type="spellStart"/>
      <w:r>
        <w:t>Росатом</w:t>
      </w:r>
      <w:proofErr w:type="spellEnd"/>
      <w:r>
        <w:t>» сроком на два года.</w:t>
      </w:r>
    </w:p>
    <w:p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>
        <w:t>форс-мажор</w:t>
      </w:r>
      <w:bookmarkEnd w:id="79"/>
      <w:bookmarkEnd w:id="80"/>
      <w:bookmarkEnd w:id="81"/>
      <w:bookmarkEnd w:id="82"/>
      <w:bookmarkEnd w:id="83"/>
      <w:bookmarkEnd w:id="84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>
        <w:t>Уведомления</w:t>
      </w:r>
      <w:bookmarkEnd w:id="85"/>
      <w:bookmarkEnd w:id="86"/>
      <w:bookmarkEnd w:id="87"/>
      <w:bookmarkEnd w:id="88"/>
      <w:bookmarkEnd w:id="89"/>
      <w:bookmarkEnd w:id="90"/>
    </w:p>
    <w:p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</w:t>
      </w:r>
      <w:r>
        <w:t>т</w:t>
      </w:r>
      <w:r>
        <w:t>ствии с Договором, высылается в виде телеграммы или письма по адресу другой стороны, с подтверждением о получении.</w:t>
      </w:r>
    </w:p>
    <w:p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 xml:space="preserve">ния № 3 </w:t>
      </w:r>
      <w:r>
        <w:rPr>
          <w:rStyle w:val="FontStyle22"/>
        </w:rPr>
        <w:t>к настоящему договору (далее - Сведения), являются полными, точными и достоверными.</w:t>
      </w:r>
    </w:p>
    <w:p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>
        <w:rPr>
          <w:color w:val="FF0000"/>
        </w:rPr>
        <w:t>Приложение № 4: Подтверждение отнесения Поставщика к субъектам МСП.</w:t>
      </w:r>
    </w:p>
    <w:p>
      <w:r>
        <w:t>Приложение № 5.Акт приема-передачи Товара (Оборудования) (образец)</w:t>
      </w:r>
    </w:p>
    <w:p/>
    <w:p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>
        <w:tc>
          <w:tcPr>
            <w:tcW w:w="4860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>
            <w:pPr>
              <w:spacing w:line="240" w:lineRule="exact"/>
            </w:pPr>
          </w:p>
          <w:p>
            <w:pPr>
              <w:spacing w:line="240" w:lineRule="exact"/>
            </w:pPr>
          </w:p>
          <w:p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>
            <w:pPr>
              <w:spacing w:line="240" w:lineRule="exact"/>
              <w:rPr>
                <w:b/>
              </w:rPr>
            </w:pPr>
          </w:p>
          <w:p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>
            <w:pPr>
              <w:tabs>
                <w:tab w:val="right" w:pos="4536"/>
              </w:tabs>
              <w:spacing w:line="240" w:lineRule="exact"/>
            </w:pPr>
          </w:p>
        </w:tc>
      </w:tr>
    </w:tbl>
    <w:p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>
      <w:pPr>
        <w:pageBreakBefore/>
      </w:pPr>
      <w:r>
        <w:lastRenderedPageBreak/>
        <w:t>Приложение № 1 к Договору№___________ от «____»______________года</w:t>
      </w:r>
    </w:p>
    <w:p>
      <w:pPr>
        <w:ind w:left="360"/>
        <w:jc w:val="center"/>
        <w:rPr>
          <w:b/>
        </w:rPr>
      </w:pPr>
    </w:p>
    <w:p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b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>
      <w:pPr>
        <w:pStyle w:val="-"/>
        <w:numPr>
          <w:ilvl w:val="0"/>
          <w:numId w:val="16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fe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a"/>
              <w:rPr>
                <w:b/>
                <w:sz w:val="24"/>
                <w:szCs w:val="24"/>
              </w:rPr>
            </w:pPr>
          </w:p>
          <w:p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fb"/>
              <w:ind w:left="0"/>
              <w:rPr>
                <w:sz w:val="24"/>
                <w:szCs w:val="24"/>
              </w:rPr>
            </w:pPr>
          </w:p>
          <w:p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fb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>__________________________ М.П.</w:t>
            </w:r>
          </w:p>
        </w:tc>
      </w:tr>
      <w:tr>
        <w:tc>
          <w:tcPr>
            <w:tcW w:w="4627" w:type="dxa"/>
          </w:tcPr>
          <w:p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>
            <w:pPr>
              <w:ind w:left="458" w:hangingChars="190" w:hanging="458"/>
              <w:rPr>
                <w:b/>
              </w:rPr>
            </w:pPr>
          </w:p>
        </w:tc>
      </w:tr>
    </w:tbl>
    <w:p>
      <w:pPr>
        <w:pageBreakBefore/>
      </w:pPr>
      <w:r>
        <w:lastRenderedPageBreak/>
        <w:t>Приложение № 2 к Договору№___________ от «____»______________года</w:t>
      </w:r>
    </w:p>
    <w:p>
      <w:pPr>
        <w:ind w:left="360"/>
      </w:pPr>
    </w:p>
    <w:p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p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</w:p>
          <w:p>
            <w:pPr>
              <w:ind w:left="456" w:hangingChars="190" w:hanging="456"/>
            </w:pPr>
            <w:r>
              <w:t xml:space="preserve">__________________________ </w:t>
            </w:r>
          </w:p>
          <w:p>
            <w:pPr>
              <w:ind w:left="456" w:hangingChars="190" w:hanging="456"/>
            </w:pPr>
            <w:r>
              <w:t>М.П.</w:t>
            </w:r>
          </w:p>
        </w:tc>
      </w:tr>
    </w:tbl>
    <w:p>
      <w:pPr>
        <w:pStyle w:val="Times12"/>
        <w:ind w:firstLine="0"/>
        <w:rPr>
          <w:szCs w:val="24"/>
        </w:rPr>
        <w:sectPr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/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</w:pPr>
            <w:r>
              <w:t>Руковод</w:t>
            </w:r>
            <w:r>
              <w:t>и</w:t>
            </w:r>
            <w:r>
              <w:t>тель / участник / акционер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/>
        </w:tc>
        <w:tc>
          <w:tcPr>
            <w:tcW w:w="568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425" w:type="dxa"/>
            <w:noWrap/>
            <w:vAlign w:val="bottom"/>
          </w:tcPr>
          <w:p/>
        </w:tc>
        <w:tc>
          <w:tcPr>
            <w:tcW w:w="708" w:type="dxa"/>
            <w:noWrap/>
            <w:vAlign w:val="bottom"/>
          </w:tcPr>
          <w:p/>
        </w:tc>
        <w:tc>
          <w:tcPr>
            <w:tcW w:w="709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276" w:type="dxa"/>
            <w:noWrap/>
            <w:vAlign w:val="bottom"/>
          </w:tcPr>
          <w:p/>
        </w:tc>
        <w:tc>
          <w:tcPr>
            <w:tcW w:w="1559" w:type="dxa"/>
            <w:noWrap/>
            <w:vAlign w:val="bottom"/>
          </w:tcPr>
          <w:p/>
        </w:tc>
        <w:tc>
          <w:tcPr>
            <w:tcW w:w="1417" w:type="dxa"/>
            <w:noWrap/>
            <w:vAlign w:val="bottom"/>
          </w:tcPr>
          <w:p/>
        </w:tc>
        <w:tc>
          <w:tcPr>
            <w:tcW w:w="1701" w:type="dxa"/>
            <w:noWrap/>
            <w:vAlign w:val="bottom"/>
          </w:tcPr>
          <w:p/>
        </w:tc>
      </w:tr>
    </w:tbl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spacing w:before="20" w:after="20"/>
        <w:jc w:val="center"/>
      </w:pPr>
    </w:p>
    <w:p>
      <w:pPr>
        <w:spacing w:before="20" w:after="20"/>
        <w:jc w:val="center"/>
        <w:sectPr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</w:p>
    <w:p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</w:pPr>
    </w:p>
    <w:p>
      <w:pPr>
        <w:spacing w:before="20" w:after="20"/>
        <w:ind w:left="567"/>
        <w:jc w:val="both"/>
      </w:pPr>
      <w:r>
        <w:t>От Поставщика:</w:t>
      </w:r>
    </w:p>
    <w:p>
      <w:pPr>
        <w:spacing w:before="20" w:after="20"/>
        <w:ind w:left="567"/>
        <w:jc w:val="both"/>
      </w:pPr>
    </w:p>
    <w:p>
      <w:pPr>
        <w:spacing w:before="20" w:after="20"/>
        <w:ind w:left="567"/>
        <w:jc w:val="both"/>
      </w:pPr>
      <w:r>
        <w:t xml:space="preserve">__________________________ </w:t>
      </w:r>
    </w:p>
    <w:p>
      <w:pPr>
        <w:spacing w:before="20" w:after="20"/>
        <w:ind w:left="567"/>
        <w:jc w:val="both"/>
      </w:pPr>
      <w:r>
        <w:t>М.П.</w:t>
      </w:r>
    </w:p>
    <w:p>
      <w:pPr>
        <w:spacing w:before="20" w:after="20"/>
        <w:ind w:left="567"/>
        <w:jc w:val="both"/>
      </w:pPr>
      <w:r>
        <w:t>«___»______________201__г.</w:t>
      </w:r>
    </w:p>
    <w:p>
      <w:pPr>
        <w:spacing w:before="20" w:after="20"/>
        <w:jc w:val="both"/>
      </w:pPr>
    </w:p>
    <w:p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>
      <w:pPr>
        <w:jc w:val="center"/>
      </w:pPr>
    </w:p>
    <w:p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>
      <w:pPr>
        <w:jc w:val="both"/>
      </w:pPr>
    </w:p>
    <w:p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/>
    <w:p>
      <w:r>
        <w:t>Стоимость поставленного Товара (Оборудования) составляет:</w:t>
      </w:r>
    </w:p>
    <w:p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/>
    <w:p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/>
    <w:p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>
            <w:pPr>
              <w:ind w:left="458" w:hangingChars="190" w:hanging="458"/>
              <w:rPr>
                <w:b/>
              </w:rPr>
            </w:pP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>
      <w:pPr>
        <w:jc w:val="right"/>
      </w:pPr>
    </w:p>
    <w:p>
      <w:pPr>
        <w:pStyle w:val="-0"/>
        <w:numPr>
          <w:ilvl w:val="0"/>
          <w:numId w:val="0"/>
        </w:numPr>
        <w:spacing w:before="60" w:after="60"/>
      </w:pPr>
    </w:p>
    <w:sectPr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pPr>
      <w:jc w:val="center"/>
    </w:pPr>
  </w:style>
  <w:style w:type="paragraph" w:customStyle="1" w:styleId="a6">
    <w:name w:val="Вправо"/>
    <w:basedOn w:val="a1"/>
    <w:next w:val="a1"/>
    <w:uiPriority w:val="99"/>
    <w:pPr>
      <w:jc w:val="right"/>
    </w:pPr>
  </w:style>
  <w:style w:type="paragraph" w:styleId="41">
    <w:name w:val="toc 4"/>
    <w:basedOn w:val="a1"/>
    <w:next w:val="a1"/>
    <w:autoRedefine/>
    <w:uiPriority w:val="99"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pPr>
      <w:jc w:val="left"/>
    </w:pPr>
  </w:style>
  <w:style w:type="paragraph" w:customStyle="1" w:styleId="ab">
    <w:name w:val="Т. лист/Заголовок"/>
    <w:basedOn w:val="a2"/>
    <w:next w:val="ad"/>
    <w:uiPriority w:val="99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</w:style>
  <w:style w:type="paragraph" w:customStyle="1" w:styleId="af">
    <w:name w:val="Примечание"/>
    <w:basedOn w:val="a1"/>
    <w:next w:val="a1"/>
    <w:uiPriority w:val="99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</w:style>
  <w:style w:type="paragraph" w:customStyle="1" w:styleId="a">
    <w:name w:val="Перечисление с буквой"/>
    <w:next w:val="a1"/>
    <w:uiPriority w:val="99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pPr>
      <w:ind w:left="720"/>
      <w:contextualSpacing/>
    </w:pPr>
  </w:style>
  <w:style w:type="paragraph" w:styleId="aff">
    <w:name w:val="Balloon Text"/>
    <w:basedOn w:val="a1"/>
    <w:link w:val="aff0"/>
    <w:uiPriority w:val="99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4625</Words>
  <Characters>26365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Тимофеева Ирина Александровна</cp:lastModifiedBy>
  <cp:revision>2</cp:revision>
  <cp:lastPrinted>2014-08-14T09:44:00Z</cp:lastPrinted>
  <dcterms:created xsi:type="dcterms:W3CDTF">2014-09-02T12:20:00Z</dcterms:created>
  <dcterms:modified xsi:type="dcterms:W3CDTF">2014-09-02T12:20:00Z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