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DF0603">
        <w:rPr>
          <w:sz w:val="21"/>
          <w:szCs w:val="21"/>
        </w:rPr>
        <w:t>сборный железобетон</w:t>
      </w:r>
      <w:r w:rsidR="00617DC8">
        <w:rPr>
          <w:sz w:val="21"/>
          <w:szCs w:val="21"/>
        </w:rPr>
        <w:t xml:space="preserve"> (</w:t>
      </w:r>
      <w:r w:rsidR="002549EA">
        <w:rPr>
          <w:sz w:val="21"/>
          <w:szCs w:val="21"/>
        </w:rPr>
        <w:t>блоки объемных шахт лифтов ЭШЛ</w:t>
      </w:r>
      <w:r w:rsidR="00617DC8">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617DC8">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в течение 5 дней,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2549EA">
        <w:rPr>
          <w:sz w:val="21"/>
          <w:szCs w:val="21"/>
        </w:rPr>
        <w:t>блоки объемных шахт лифтов ЭШЛ</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1A1000"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2726</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45</cp:revision>
  <dcterms:created xsi:type="dcterms:W3CDTF">2012-04-18T05:30:00Z</dcterms:created>
  <dcterms:modified xsi:type="dcterms:W3CDTF">2014-02-26T07:50:00Z</dcterms:modified>
</cp:coreProperties>
</file>