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54E" w:rsidRPr="00DA1207" w:rsidRDefault="0044654E" w:rsidP="0044654E">
      <w:pPr>
        <w:suppressAutoHyphens w:val="0"/>
        <w:ind w:firstLine="540"/>
        <w:jc w:val="center"/>
        <w:rPr>
          <w:rFonts w:ascii="Times New Roman" w:hAnsi="Times New Roman"/>
          <w:b/>
          <w:szCs w:val="24"/>
          <w:lang w:eastAsia="ru-RU"/>
        </w:rPr>
      </w:pPr>
      <w:r w:rsidRPr="00DA1207">
        <w:rPr>
          <w:rFonts w:ascii="Times New Roman" w:hAnsi="Times New Roman"/>
          <w:b/>
          <w:szCs w:val="24"/>
          <w:lang w:eastAsia="ru-RU"/>
        </w:rPr>
        <w:t>«ТЕХНИЧЕСКАЯ ЧАСТЬ»</w:t>
      </w:r>
    </w:p>
    <w:p w:rsidR="0044654E" w:rsidRPr="00DA1207" w:rsidRDefault="0044654E" w:rsidP="0044654E">
      <w:pPr>
        <w:suppressAutoHyphens w:val="0"/>
        <w:ind w:firstLine="540"/>
        <w:jc w:val="both"/>
        <w:rPr>
          <w:rFonts w:ascii="Times New Roman" w:hAnsi="Times New Roman"/>
          <w:b/>
          <w:szCs w:val="24"/>
          <w:lang w:eastAsia="ru-RU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pStyle w:val="a7"/>
        <w:spacing w:line="240" w:lineRule="auto"/>
        <w:ind w:firstLine="0"/>
        <w:jc w:val="center"/>
        <w:rPr>
          <w:sz w:val="24"/>
          <w:szCs w:val="24"/>
        </w:rPr>
      </w:pPr>
      <w:r w:rsidRPr="006F1EE0">
        <w:rPr>
          <w:sz w:val="24"/>
          <w:szCs w:val="24"/>
        </w:rPr>
        <w:t>Техническое задание</w:t>
      </w: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pStyle w:val="a7"/>
        <w:spacing w:line="240" w:lineRule="auto"/>
        <w:ind w:firstLine="0"/>
        <w:jc w:val="center"/>
        <w:rPr>
          <w:color w:val="000000"/>
          <w:sz w:val="24"/>
          <w:szCs w:val="24"/>
        </w:rPr>
      </w:pPr>
      <w:r w:rsidRPr="006F1EE0">
        <w:rPr>
          <w:color w:val="000000"/>
          <w:sz w:val="24"/>
          <w:szCs w:val="24"/>
        </w:rPr>
        <w:t xml:space="preserve">Предмет закупки: изготовление и поставка подвесок с ионизационными камерами </w:t>
      </w:r>
    </w:p>
    <w:p w:rsidR="0044654E" w:rsidRPr="006F1EE0" w:rsidRDefault="0044654E" w:rsidP="0044654E">
      <w:pPr>
        <w:pStyle w:val="a7"/>
        <w:spacing w:line="240" w:lineRule="auto"/>
        <w:ind w:firstLine="0"/>
        <w:jc w:val="center"/>
        <w:rPr>
          <w:color w:val="000000"/>
          <w:sz w:val="24"/>
          <w:szCs w:val="24"/>
        </w:rPr>
      </w:pPr>
      <w:r w:rsidRPr="006F1EE0">
        <w:rPr>
          <w:color w:val="000000"/>
          <w:sz w:val="24"/>
          <w:szCs w:val="24"/>
        </w:rPr>
        <w:t>газовой системы КГО</w:t>
      </w: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szCs w:val="24"/>
        </w:rPr>
      </w:pPr>
      <w:r w:rsidRPr="006F1EE0">
        <w:rPr>
          <w:rFonts w:ascii="Times New Roman" w:hAnsi="Times New Roman"/>
          <w:szCs w:val="24"/>
        </w:rPr>
        <w:t>Обнинск</w:t>
      </w:r>
    </w:p>
    <w:p w:rsidR="0044654E" w:rsidRPr="006F1EE0" w:rsidRDefault="0044654E" w:rsidP="0044654E">
      <w:pPr>
        <w:jc w:val="center"/>
        <w:rPr>
          <w:rFonts w:ascii="Times New Roman" w:hAnsi="Times New Roman"/>
          <w:szCs w:val="24"/>
        </w:rPr>
      </w:pPr>
      <w:r w:rsidRPr="006F1EE0">
        <w:rPr>
          <w:rFonts w:ascii="Times New Roman" w:hAnsi="Times New Roman"/>
          <w:szCs w:val="24"/>
        </w:rPr>
        <w:t>2014</w:t>
      </w:r>
    </w:p>
    <w:p w:rsidR="0044654E" w:rsidRPr="006F1EE0" w:rsidRDefault="0044654E" w:rsidP="0044654E">
      <w:pPr>
        <w:jc w:val="center"/>
        <w:rPr>
          <w:rFonts w:ascii="Times New Roman" w:hAnsi="Times New Roman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br w:type="page"/>
      </w: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1.3 Код ОКП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44654E" w:rsidRPr="006F1EE0" w:rsidRDefault="0044654E" w:rsidP="0044654E">
      <w:pPr>
        <w:tabs>
          <w:tab w:val="left" w:pos="851"/>
        </w:tabs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44654E" w:rsidRPr="006F1EE0" w:rsidRDefault="0044654E" w:rsidP="0044654E">
      <w:pPr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br w:type="page"/>
      </w:r>
      <w:r w:rsidRPr="006F1EE0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27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44654E" w:rsidRPr="006F1EE0" w:rsidTr="00533385">
        <w:trPr>
          <w:trHeight w:val="20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Подвески с ионизационными камерами газовой системы КГО (далее ПИКГ КГО) – 5 шт.</w:t>
            </w:r>
          </w:p>
        </w:tc>
      </w:tr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44654E" w:rsidRPr="006F1EE0" w:rsidTr="00533385">
        <w:trPr>
          <w:trHeight w:val="241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44654E" w:rsidRPr="006F1EE0" w:rsidTr="00533385">
        <w:trPr>
          <w:trHeight w:val="7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 xml:space="preserve">Код ОКДП </w:t>
            </w:r>
            <w:r w:rsidRPr="006F1EE0">
              <w:rPr>
                <w:rFonts w:ascii="Times New Roman" w:hAnsi="Times New Roman"/>
                <w:szCs w:val="24"/>
              </w:rPr>
              <w:t>3211135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1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Подвески с ионизационными камерами газовой системы КГО будут использоваться в области атомной энергии (реакторная установка БН-600)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81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температура окружающего воздуха от 15 до 50;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относительная влажность воздуха от 30 до 80 %;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атмосферное давление от 84,0 до 106,7 кПа;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температура контролируемо среды до 135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 xml:space="preserve"> </w:t>
            </w:r>
            <w:r w:rsidRPr="006F1EE0">
              <w:rPr>
                <w:rFonts w:ascii="Times New Roman" w:hAnsi="Times New Roman"/>
                <w:szCs w:val="24"/>
              </w:rPr>
              <w:sym w:font="Symbol" w:char="F0B0"/>
            </w:r>
            <w:r w:rsidRPr="006F1EE0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>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давление измеряемой среды до 0,1 мПа.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преобразование суммарной объёмной активности защитного газа в диапазоне от 102 до 108 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МБк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/м3 в выходные токовые сигналы;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длина,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>, не более 1000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диаметр,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мм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>, не более 450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4654E" w:rsidRPr="006F1EE0" w:rsidTr="00533385">
        <w:trPr>
          <w:trHeight w:val="27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количество рабочих объёмов - 3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режим работы - токовый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диапазон изменения выходного токового сигнала, А - от 5,0∙10-11 до 1,0∙10-3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поддиапазон изменения выходного токового сигнала внутреннего объёма ионизационной камеры, А - от 1,0∙10-9 до 1,0∙10-3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поддиапазон изменения выходного токового сигнала среднего объёма ионизационной камеры, А - от 1,0∙10-10 до 1,1∙10-4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поддиапазон изменения выходного токового сигнала внешнего объёма ионизационной камеры, А - от 5,0∙10-11 до 5,5∙10-5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чувствительность ПИКГ КГО к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sym w:font="Symbol" w:char="F062"/>
            </w:r>
            <w:r w:rsidRPr="006F1EE0">
              <w:rPr>
                <w:rFonts w:ascii="Times New Roman" w:hAnsi="Times New Roman"/>
                <w:szCs w:val="24"/>
              </w:rPr>
              <w:t>-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>частицам: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внутренняя камера, А/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МБк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/м3, не менее - 9,3∙10-12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промежуточная камера, А/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МБк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/м3, не менее - 1,1∙10-12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внешняя камера, А/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МБк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/м3, не менее - 5,5∙10-13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44654E" w:rsidRPr="006F1EE0" w:rsidTr="00533385">
        <w:trPr>
          <w:trHeight w:val="21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средняя наработка на отказ (То)  должна быть не менее 10000  ч.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среднее время восстановления (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Тв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) в период ППР изделием из состава ЗИП — не более 24 часов.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средний срок 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сохраняемости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 xml:space="preserve"> в упаковке без 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переконсервации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 xml:space="preserve"> в условиях, установленных в п. 4.13.8 настоящего ТЗ</w:t>
            </w:r>
            <w:r w:rsidRPr="006F1EE0">
              <w:rPr>
                <w:rFonts w:ascii="Times New Roman" w:hAnsi="Times New Roman"/>
                <w:szCs w:val="24"/>
              </w:rPr>
              <w:sym w:font="Symbol" w:char="F02D"/>
            </w:r>
            <w:r w:rsidRPr="006F1EE0">
              <w:rPr>
                <w:rFonts w:ascii="Times New Roman" w:hAnsi="Times New Roman"/>
                <w:szCs w:val="24"/>
              </w:rPr>
              <w:t xml:space="preserve"> не более 3 лет.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средний срок службы ПИКГ КГО (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Тсл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) – не менее 10 лет, при условии замены вышедших из строя ПИКГ КГО изделиями из состава ЗИП.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44654E" w:rsidRPr="006F1EE0" w:rsidTr="00533385">
        <w:trPr>
          <w:trHeight w:val="16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Конструкция ПИКГ КГО должна иметь следующие основные части: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lastRenderedPageBreak/>
              <w:t xml:space="preserve">- три измерительных объёма, позволяющих обеспечивать одновременное измерение объёмной активности газа в трёх диапазонах энергий 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β-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>частиц (0</w:t>
            </w:r>
            <w:r w:rsidRPr="006F1EE0">
              <w:rPr>
                <w:rFonts w:ascii="Times New Roman" w:hAnsi="Times New Roman"/>
                <w:szCs w:val="24"/>
              </w:rPr>
              <w:noBreakHyphen/>
              <w:t>0,4 МэВ, 0,4-1,0 МэВ, свыше 1 МэВ);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металлическую раму (опору) с узлами крепления для фиксации ПИКГ КГО в рабочем положении;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кабельную линию связи с блоком усилителей сигналов (БУС ГС) длиной до 25 м.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Максимальный диаметр корпуса ПИК КГО должен быть не более 450 мм, длина корпуса — не более 1,0 м. 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масса ПИКГ КГО должна быть не более 30 кг.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корпус ПИКГ КГО должен быть герметичным и заполненным инертными газами (ГОСТ 9293,  ТУ51-940, ТУ6-21-12). 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ПИКГ КГО должна соответствовать степени защищённости не менее IP54 по ГОСТ 14254.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- корпус ПИКГ КГО должен быть устойчив к воздействию дезактивирующих растворов в соответствии с ГОСТ 29075-91 (состав № 8) и допускать эксплуатацию после их воздействия.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- рабочее положение подвески </w:t>
            </w:r>
            <w:r w:rsidRPr="006F1EE0">
              <w:rPr>
                <w:rFonts w:ascii="Times New Roman" w:hAnsi="Times New Roman"/>
                <w:szCs w:val="24"/>
              </w:rPr>
              <w:sym w:font="Symbol" w:char="F02D"/>
            </w:r>
            <w:r w:rsidRPr="006F1EE0">
              <w:rPr>
                <w:rFonts w:ascii="Times New Roman" w:hAnsi="Times New Roman"/>
                <w:szCs w:val="24"/>
              </w:rPr>
              <w:t xml:space="preserve"> горизонтальное.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44654E" w:rsidRPr="006F1EE0" w:rsidTr="00533385">
        <w:trPr>
          <w:trHeight w:val="12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ПИКГ КГО должна быть изготовлена из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коррозионно-стойких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 xml:space="preserve"> материалов. Детали и сборочные единицы, изготовленные из других материалов, должны иметь стойкие антикоррозионные покрытия, отвечающие условиям эксплуатации, или находиться в инертной среде.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4654E" w:rsidRPr="006F1EE0" w:rsidTr="00533385">
        <w:trPr>
          <w:trHeight w:val="197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ПИК КГО должна относиться к I категории сейсмостойкости по НП 031-01 и должна быть рассчитана на ПЗ 6 баллов и МРЗ 7 баллов по шкале MSK-64, по способу монтажа — группа «В», по функциональному назначению — исполнение 1 по РД 25 818-87, при этом высотная отметка не более 20 м. 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 устойчивости к воздействию синусоидальной вибрации ПИКГ КГО должна соответствовать группе устойчивости 3 по ГОСТ 29075-91.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В части устойчивости к электромагнитным помехам ПИКГ КГО должна соответствовать группе исполнения III по ГОСТ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 xml:space="preserve"> 50746-2000 для электромагнитной обстановки средней жёсткости, критерий функционирования — «А».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ПИКГ КГО должна быть </w:t>
            </w:r>
            <w:proofErr w:type="spellStart"/>
            <w:r w:rsidRPr="006F1EE0">
              <w:rPr>
                <w:rFonts w:ascii="Times New Roman" w:hAnsi="Times New Roman"/>
                <w:szCs w:val="24"/>
              </w:rPr>
              <w:t>пожаробезопасной</w:t>
            </w:r>
            <w:proofErr w:type="spellEnd"/>
            <w:r w:rsidRPr="006F1EE0">
              <w:rPr>
                <w:rFonts w:ascii="Times New Roman" w:hAnsi="Times New Roman"/>
                <w:szCs w:val="24"/>
              </w:rPr>
              <w:t>. Применяемые материалы и комплектующие изделия не должны быть источниками возгорания и не должны поддерживать горения.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ПИКГ КГО должна быть стойкой к воздействию атмосферного давления от 84 до 106,7 кПа по ГОСТ 29075-91.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 климатическим условиям при нормальной эксплуатации ПИК КГО должна удовлетворять требованиям для группы исполнения изделий УХЛ 4 по ГОСТ 15150-69.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 устойчивости к воздействию температуры и влажности окружающего воздуха ПИКГ КГО должна быть работоспособна при рабочих значениях температуры окружающего воздуха от плюс 10 до плюс 40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 xml:space="preserve"> </w:t>
            </w:r>
            <w:r w:rsidRPr="006F1EE0">
              <w:rPr>
                <w:rFonts w:ascii="Times New Roman" w:hAnsi="Times New Roman"/>
                <w:szCs w:val="24"/>
              </w:rPr>
              <w:sym w:font="Symbol" w:char="F0B0"/>
            </w:r>
            <w:r w:rsidRPr="006F1EE0">
              <w:rPr>
                <w:rFonts w:ascii="Times New Roman" w:hAnsi="Times New Roman"/>
                <w:szCs w:val="24"/>
              </w:rPr>
              <w:t>С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 xml:space="preserve"> и относительной влажности воздуха до 80 % при температуре плюс 25 </w:t>
            </w:r>
            <w:r w:rsidRPr="006F1EE0">
              <w:rPr>
                <w:rFonts w:ascii="Times New Roman" w:hAnsi="Times New Roman"/>
                <w:szCs w:val="24"/>
              </w:rPr>
              <w:sym w:font="Symbol" w:char="F0B0"/>
            </w:r>
            <w:r w:rsidRPr="006F1EE0">
              <w:rPr>
                <w:rFonts w:ascii="Times New Roman" w:hAnsi="Times New Roman"/>
                <w:szCs w:val="24"/>
              </w:rPr>
              <w:t>С и более низких температурах без конденсации влаги.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44654E" w:rsidRPr="006F1EE0" w:rsidTr="00533385">
        <w:trPr>
          <w:trHeight w:val="16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Функционирование ПИКГ КГО должно обеспечиваться при наличии напряжения питания 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>до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 xml:space="preserve"> плюс 500 В.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44654E" w:rsidRPr="006F1EE0" w:rsidTr="00533385">
        <w:trPr>
          <w:trHeight w:val="13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44654E" w:rsidRPr="006F1EE0" w:rsidTr="00533385">
        <w:trPr>
          <w:trHeight w:val="22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В комплект поставки должны входить: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– подвеска ПИКГ КГО – 5 шт.;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– паспорт на подвеску;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– руководство по эксплуатации – одно на партию подвесок;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– упаковка.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44654E" w:rsidRPr="006F1EE0" w:rsidTr="00533385">
        <w:trPr>
          <w:trHeight w:val="17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lastRenderedPageBreak/>
              <w:t>Маркировка должна быть выполнена шрифтами по ГОСТ 26.020-80.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44654E" w:rsidRPr="006F1EE0" w:rsidTr="00533385">
        <w:trPr>
          <w:trHeight w:val="33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Общие требования к упаковке элементов ПИКГ КГО должны соответствовать ГОСТ 23170-78  по категории КУ-2 или КУ-3.</w:t>
            </w:r>
          </w:p>
          <w:p w:rsidR="0044654E" w:rsidRPr="006F1EE0" w:rsidRDefault="0044654E" w:rsidP="00533385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Внутренняя упаковка должна соответствовать требованиям ГОСТ 9.014 78 для группы III-1, вариант защиты ЗВ-10, вариант упаковки ВУ-5, срок защиты 3 года.</w:t>
            </w:r>
          </w:p>
          <w:p w:rsidR="0044654E" w:rsidRPr="006F1EE0" w:rsidRDefault="0044654E" w:rsidP="00533385">
            <w:pPr>
              <w:pStyle w:val="a5"/>
              <w:jc w:val="both"/>
            </w:pPr>
            <w:r w:rsidRPr="006F1EE0">
              <w:t>Упаковка  должна производиться в закрытых, вентилируемых помещениях с температурой окружающего воздуха от плюс 15 до плюс 40</w:t>
            </w:r>
            <w:proofErr w:type="gramStart"/>
            <w:r w:rsidRPr="006F1EE0">
              <w:t xml:space="preserve"> </w:t>
            </w:r>
            <w:r w:rsidRPr="006F1EE0">
              <w:sym w:font="Symbol" w:char="F0B0"/>
            </w:r>
            <w:r w:rsidRPr="006F1EE0">
              <w:t>С</w:t>
            </w:r>
            <w:proofErr w:type="gramEnd"/>
            <w:r w:rsidRPr="006F1EE0">
              <w:t xml:space="preserve"> и относительной влажностью до 80 % при температуре плюс 25 </w:t>
            </w:r>
            <w:r w:rsidRPr="006F1EE0">
              <w:sym w:font="Symbol" w:char="F0B0"/>
            </w:r>
            <w:r w:rsidRPr="006F1EE0">
              <w:t>С и содержании в воздухе коррозионных агентов, не превышающим установленное для атмосферы типа I по ГОСТ 15150-96.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области, г. Обнинске, пл. Бондаренко, д.1. 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F1EE0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4654E" w:rsidRPr="006F1EE0" w:rsidTr="00533385">
        <w:trPr>
          <w:trHeight w:val="399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3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Конструкция ПИКГ КГО должна допускать транспортирование железнодорожным или автомобильным транспортом и соответствовать группе исполнения N1 по ГОСТ 52931-2008.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Количество и масса продукции, упаковываемой в одно транспортное место, должны выбираться из условия возможности перевозки автомобильным или железнодорожным транспортом.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На каждом отгружаемом товарном месте должна быть нанесена транспортная маркировка по ГОСТ 14192, содержащая манипуляционные знаки, основные и дополнительные информационные надписи в соответствии с требованиями  упаковки.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Электрические соединители и головки ПИКГ КГО должны быть заглушены транспортными колпачками.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С каждым грузовым местом должен поставляться упаковочный лист.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Размещение, крепление и транспортирование подвески ПИКГ КГО железнодорожным и  автомобильным транспортами должно осуществляться в соответствии с </w:t>
            </w:r>
            <w:bookmarkStart w:id="0" w:name="_Hlk224033757"/>
            <w:r w:rsidRPr="006F1EE0">
              <w:rPr>
                <w:rFonts w:ascii="Times New Roman" w:hAnsi="Times New Roman"/>
                <w:szCs w:val="24"/>
              </w:rPr>
              <w:t xml:space="preserve">«Правилами перевозки грузов автомобильным транспортом» и  «Правилами перевозки грузов железнодорожным транспортом»   </w:t>
            </w:r>
          </w:p>
          <w:bookmarkEnd w:id="0"/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При транспортировании должна быть обеспечена надежная защита тары с грузом от атмосферных осадков.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9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ПИКГ КГО в транспортной таре предприятия-изготовителя должна выдерживать условия хранения и транспортирования, соответствующие группе</w:t>
            </w:r>
            <w:proofErr w:type="gramStart"/>
            <w:r w:rsidRPr="006F1EE0">
              <w:rPr>
                <w:rFonts w:ascii="Times New Roman" w:hAnsi="Times New Roman"/>
                <w:szCs w:val="24"/>
              </w:rPr>
              <w:t xml:space="preserve"> С</w:t>
            </w:r>
            <w:proofErr w:type="gramEnd"/>
            <w:r w:rsidRPr="006F1EE0">
              <w:rPr>
                <w:rFonts w:ascii="Times New Roman" w:hAnsi="Times New Roman"/>
                <w:szCs w:val="24"/>
              </w:rPr>
              <w:t xml:space="preserve"> по ГОСТ 15150-69.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6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Гарантийный срок эксплуатации ПИКГ КГО должен составлять </w:t>
            </w:r>
            <w:r>
              <w:rPr>
                <w:rFonts w:ascii="Times New Roman" w:hAnsi="Times New Roman"/>
                <w:szCs w:val="24"/>
              </w:rPr>
              <w:t>не менее 12 месяцев</w:t>
            </w:r>
            <w:r w:rsidRPr="006F1EE0">
              <w:rPr>
                <w:rFonts w:ascii="Times New Roman" w:hAnsi="Times New Roman"/>
                <w:szCs w:val="24"/>
              </w:rPr>
              <w:t xml:space="preserve"> со дня ввода в эксплуатацию</w:t>
            </w:r>
            <w:r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5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lastRenderedPageBreak/>
              <w:t>Не предусмотрены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10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0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ПИКГ КГО не должна включать материалы, которые в процессе испытаний, хранения, транспортирования, эксплуатации и утилизации могут принести вред окружающей природной среде.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По истечении срока эксплуатации составные части, а также отказавшие составные части измерительного канала, не подлежащие ремонту, должны направляться на утилизацию.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Утилизация должна проводиться силами предприятия, использующего измерительный канал, по установленным на этом предприятии правилам и в соответствии с требованиями нормативной документации.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10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Конструкция ПИКГ КГО и применяемые материалы должны обеспечивать безопасность обслуживающего персонала при эксплуатации в соответствии с ГОСТ 29075-91.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Эксплуатационная документация должна содержать указания по безопасным приемам работ при техническом обслуживании. Необходимые указания, по возможности, должны быть продублированы на видных местах аппаратуры в виде предупредительных надписей и знаков опасности.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ПИКГ КГО при их монтаже, наладке, обслуживании и ремонте в части требований электробезопасности должны соответствовать требованиям ГОСТ 12.2.007.0-75.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Все внешние нетоковедущие части элементов ПИКГ КГО должны быть заземлены путем присоединения к зажиму защитного заземления, имеющему обозначение по ГОСТ 25874-83. Значение сопротивления между элементами заземления  и каждой доступной прикосновению металлической нетоковедущей частью, которая может оказаться под напряжением, не должно превышать 0,1 Ом.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ПИКГ КГО должна отвечать требованиям пожарной безопасности по ГОСТ 12.2.003, ГОСТ 12.2.007 и ГОСТ 12.1.004. При любых возникающих в них неисправностях они не должны быть источником возгорания.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Меры безопасности при работе с ПИКГ КГО должны соответствовать требованиям «Правил эксплуатации электроустановок потребителей» (ПНЭП), «Правил устройства электроустановок» (ПУЭ), «Межотраслевых Правил по охране труда (Правила безопасности) при эксплуатации установок» (ПБ).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Сигнальные цвета и знаки безопасности должны соответствовать ГОСТ 12.4.026-76.</w:t>
            </w:r>
          </w:p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Элементы ПИКГ КГО должны отвечать требованиям пожарной безопасности по ГОСТ 12.2.007.0-75 и ГОСТ 12.1.004-91.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6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6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>Не предусмотрены</w:t>
            </w:r>
          </w:p>
        </w:tc>
      </w:tr>
    </w:tbl>
    <w:p w:rsidR="0044654E" w:rsidRPr="006F1EE0" w:rsidRDefault="0044654E" w:rsidP="0044654E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6F1EE0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6F1EE0" w:rsidTr="00533385">
        <w:trPr>
          <w:trHeight w:val="75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654E" w:rsidRPr="006F1EE0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6F1EE0">
              <w:rPr>
                <w:rFonts w:ascii="Times New Roman" w:hAnsi="Times New Roman"/>
                <w:szCs w:val="24"/>
              </w:rPr>
              <w:t xml:space="preserve">Не предусмотрены </w:t>
            </w: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856822">
        <w:rPr>
          <w:rFonts w:ascii="Times New Roman" w:hAnsi="Times New Roman"/>
          <w:color w:val="000000"/>
          <w:szCs w:val="24"/>
        </w:rPr>
        <w:lastRenderedPageBreak/>
        <w:t>РАЗДЕЛ 16. ТРЕБОВАНИЯ К КОЛИЧЕСТВУ И СРОКУ (ПЕРИОДИЧНОСТИ) ПОСТАВКИ</w:t>
      </w:r>
    </w:p>
    <w:p w:rsidR="0044654E" w:rsidRPr="00856822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856822" w:rsidTr="00533385">
        <w:trPr>
          <w:trHeight w:val="64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4E" w:rsidRPr="00856822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856822">
              <w:rPr>
                <w:rFonts w:ascii="Times New Roman" w:hAnsi="Times New Roman"/>
                <w:szCs w:val="24"/>
              </w:rPr>
              <w:t>Поставка Товара должна быть осуществлена в два этапа с 10 августа 2014 года по 15 августа 2015 года в соответствии с графиком поставки. Возможна досрочная поставка.</w:t>
            </w:r>
          </w:p>
          <w:p w:rsidR="0044654E" w:rsidRPr="00856822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856822">
              <w:rPr>
                <w:rFonts w:ascii="Times New Roman" w:hAnsi="Times New Roman"/>
                <w:szCs w:val="24"/>
              </w:rPr>
              <w:t>С 10.08.2014 г. по 31.12.2014 г. – 2 шт.</w:t>
            </w:r>
          </w:p>
          <w:p w:rsidR="0044654E" w:rsidRPr="00856822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856822">
              <w:rPr>
                <w:rFonts w:ascii="Times New Roman" w:hAnsi="Times New Roman"/>
                <w:szCs w:val="24"/>
              </w:rPr>
              <w:t>С 01.01.2015 г. по 15.08.2015 г. – 3 шт.</w:t>
            </w:r>
          </w:p>
        </w:tc>
      </w:tr>
    </w:tbl>
    <w:p w:rsidR="0044654E" w:rsidRPr="00856822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856822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  <w:r w:rsidRPr="00856822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44654E" w:rsidRPr="00856822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44654E" w:rsidRPr="00856822" w:rsidTr="00533385">
        <w:trPr>
          <w:trHeight w:val="138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54E" w:rsidRPr="00856822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  <w:r w:rsidRPr="00856822">
              <w:rPr>
                <w:rFonts w:ascii="Times New Roman" w:hAnsi="Times New Roman"/>
                <w:szCs w:val="24"/>
              </w:rPr>
              <w:t>Информация должна быть предоставлена в форме нижеуказанной.</w:t>
            </w:r>
          </w:p>
          <w:tbl>
            <w:tblPr>
              <w:tblW w:w="10206" w:type="dxa"/>
              <w:tblInd w:w="19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09"/>
              <w:gridCol w:w="3302"/>
              <w:gridCol w:w="3118"/>
              <w:gridCol w:w="2977"/>
            </w:tblGrid>
            <w:tr w:rsidR="0044654E" w:rsidRPr="00856822" w:rsidTr="00533385">
              <w:tc>
                <w:tcPr>
                  <w:tcW w:w="809" w:type="dxa"/>
                  <w:tcBorders>
                    <w:top w:val="double" w:sz="4" w:space="0" w:color="auto"/>
                    <w:left w:val="doub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44654E" w:rsidRPr="00856822" w:rsidRDefault="0044654E" w:rsidP="0053338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 xml:space="preserve">№ </w:t>
                  </w:r>
                  <w:proofErr w:type="gramStart"/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п</w:t>
                  </w:r>
                  <w:proofErr w:type="gramEnd"/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/п</w:t>
                  </w:r>
                </w:p>
              </w:tc>
              <w:tc>
                <w:tcPr>
                  <w:tcW w:w="3302" w:type="dxa"/>
                  <w:tcBorders>
                    <w:top w:val="doub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44654E" w:rsidRPr="00856822" w:rsidRDefault="0044654E" w:rsidP="0053338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Наименование параметра</w:t>
                  </w:r>
                </w:p>
              </w:tc>
              <w:tc>
                <w:tcPr>
                  <w:tcW w:w="3118" w:type="dxa"/>
                  <w:tcBorders>
                    <w:top w:val="double" w:sz="4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44654E" w:rsidRPr="00856822" w:rsidRDefault="0044654E" w:rsidP="00533385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Требуемое значение</w:t>
                  </w:r>
                </w:p>
              </w:tc>
              <w:tc>
                <w:tcPr>
                  <w:tcW w:w="2977" w:type="dxa"/>
                  <w:tcBorders>
                    <w:top w:val="double" w:sz="4" w:space="0" w:color="auto"/>
                    <w:left w:val="single" w:sz="6" w:space="0" w:color="auto"/>
                    <w:bottom w:val="single" w:sz="6" w:space="0" w:color="auto"/>
                    <w:right w:val="double" w:sz="4" w:space="0" w:color="auto"/>
                  </w:tcBorders>
                  <w:vAlign w:val="center"/>
                  <w:hideMark/>
                </w:tcPr>
                <w:p w:rsidR="0044654E" w:rsidRPr="00856822" w:rsidRDefault="0044654E" w:rsidP="00533385">
                  <w:pPr>
                    <w:jc w:val="center"/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</w:pPr>
                  <w:proofErr w:type="gramStart"/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>Предлагаемое</w:t>
                  </w:r>
                  <w:proofErr w:type="gramEnd"/>
                  <w:r w:rsidRPr="00856822">
                    <w:rPr>
                      <w:rFonts w:ascii="Times New Roman" w:hAnsi="Times New Roman"/>
                      <w:b/>
                      <w:bCs/>
                      <w:color w:val="000000"/>
                      <w:szCs w:val="24"/>
                    </w:rPr>
                    <w:t xml:space="preserve"> </w:t>
                  </w:r>
                  <w:r w:rsidRPr="00856822">
                    <w:rPr>
                      <w:rFonts w:ascii="Times New Roman" w:hAnsi="Times New Roman"/>
                      <w:b/>
                      <w:color w:val="000000"/>
                      <w:szCs w:val="24"/>
                    </w:rPr>
                    <w:t>участником запроса предложений</w:t>
                  </w:r>
                </w:p>
              </w:tc>
            </w:tr>
            <w:tr w:rsidR="0044654E" w:rsidRPr="00856822" w:rsidTr="00533385">
              <w:trPr>
                <w:trHeight w:val="371"/>
              </w:trPr>
              <w:tc>
                <w:tcPr>
                  <w:tcW w:w="809" w:type="dxa"/>
                  <w:tcBorders>
                    <w:top w:val="single" w:sz="6" w:space="0" w:color="auto"/>
                    <w:left w:val="doub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  <w:t>1.</w:t>
                  </w:r>
                </w:p>
              </w:tc>
              <w:tc>
                <w:tcPr>
                  <w:tcW w:w="33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color w:val="000000"/>
                      <w:szCs w:val="24"/>
                    </w:rPr>
                    <w:t>Условия эксплуатации</w:t>
                  </w:r>
                </w:p>
              </w:tc>
              <w:tc>
                <w:tcPr>
                  <w:tcW w:w="31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color w:val="000000"/>
                      <w:szCs w:val="24"/>
                    </w:rPr>
                    <w:t>Согласно Разделу 3 Технического задания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4" w:space="0" w:color="auto"/>
                  </w:tcBorders>
                </w:tcPr>
                <w:p w:rsidR="0044654E" w:rsidRPr="00856822" w:rsidRDefault="0044654E" w:rsidP="00533385">
                  <w:pPr>
                    <w:ind w:firstLine="16"/>
                    <w:rPr>
                      <w:rFonts w:ascii="Times New Roman" w:hAnsi="Times New Roman"/>
                      <w:color w:val="000000"/>
                      <w:szCs w:val="24"/>
                    </w:rPr>
                  </w:pPr>
                </w:p>
              </w:tc>
            </w:tr>
            <w:tr w:rsidR="0044654E" w:rsidRPr="00856822" w:rsidTr="00533385">
              <w:trPr>
                <w:trHeight w:val="198"/>
              </w:trPr>
              <w:tc>
                <w:tcPr>
                  <w:tcW w:w="809" w:type="dxa"/>
                  <w:tcBorders>
                    <w:top w:val="single" w:sz="6" w:space="0" w:color="auto"/>
                    <w:left w:val="doub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  <w:t>2.</w:t>
                  </w:r>
                </w:p>
              </w:tc>
              <w:tc>
                <w:tcPr>
                  <w:tcW w:w="330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  <w:t>Технические требования</w:t>
                  </w:r>
                </w:p>
              </w:tc>
              <w:tc>
                <w:tcPr>
                  <w:tcW w:w="31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color w:val="000000"/>
                      <w:szCs w:val="24"/>
                    </w:rPr>
                    <w:t>Согласно Разделу 4 Технического задания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double" w:sz="4" w:space="0" w:color="auto"/>
                  </w:tcBorders>
                </w:tcPr>
                <w:p w:rsidR="0044654E" w:rsidRPr="00856822" w:rsidRDefault="0044654E" w:rsidP="00533385">
                  <w:pPr>
                    <w:ind w:firstLine="16"/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</w:p>
              </w:tc>
            </w:tr>
            <w:tr w:rsidR="0044654E" w:rsidRPr="00856822" w:rsidTr="00533385">
              <w:trPr>
                <w:trHeight w:val="198"/>
              </w:trPr>
              <w:tc>
                <w:tcPr>
                  <w:tcW w:w="809" w:type="dxa"/>
                  <w:tcBorders>
                    <w:top w:val="single" w:sz="6" w:space="0" w:color="auto"/>
                    <w:left w:val="double" w:sz="4" w:space="0" w:color="auto"/>
                    <w:bottom w:val="double" w:sz="4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  <w:t xml:space="preserve">3. </w:t>
                  </w:r>
                </w:p>
              </w:tc>
              <w:tc>
                <w:tcPr>
                  <w:tcW w:w="3302" w:type="dxa"/>
                  <w:tcBorders>
                    <w:top w:val="single" w:sz="6" w:space="0" w:color="auto"/>
                    <w:left w:val="single" w:sz="6" w:space="0" w:color="auto"/>
                    <w:bottom w:val="double" w:sz="4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  <w:t>Требования по безопасности</w:t>
                  </w:r>
                </w:p>
              </w:tc>
              <w:tc>
                <w:tcPr>
                  <w:tcW w:w="3118" w:type="dxa"/>
                  <w:tcBorders>
                    <w:top w:val="single" w:sz="6" w:space="0" w:color="auto"/>
                    <w:left w:val="single" w:sz="6" w:space="0" w:color="auto"/>
                    <w:bottom w:val="double" w:sz="4" w:space="0" w:color="auto"/>
                    <w:right w:val="single" w:sz="6" w:space="0" w:color="auto"/>
                  </w:tcBorders>
                  <w:hideMark/>
                </w:tcPr>
                <w:p w:rsidR="0044654E" w:rsidRPr="00856822" w:rsidRDefault="0044654E" w:rsidP="00533385">
                  <w:pPr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  <w:r w:rsidRPr="00856822">
                    <w:rPr>
                      <w:rFonts w:ascii="Times New Roman" w:hAnsi="Times New Roman"/>
                      <w:color w:val="000000"/>
                      <w:szCs w:val="24"/>
                    </w:rPr>
                    <w:t>Согласно Разделу 12 Технического задания</w:t>
                  </w:r>
                </w:p>
              </w:tc>
              <w:tc>
                <w:tcPr>
                  <w:tcW w:w="2977" w:type="dxa"/>
                  <w:tcBorders>
                    <w:top w:val="single" w:sz="6" w:space="0" w:color="auto"/>
                    <w:left w:val="single" w:sz="6" w:space="0" w:color="auto"/>
                    <w:bottom w:val="double" w:sz="4" w:space="0" w:color="auto"/>
                    <w:right w:val="double" w:sz="4" w:space="0" w:color="auto"/>
                  </w:tcBorders>
                </w:tcPr>
                <w:p w:rsidR="0044654E" w:rsidRPr="00856822" w:rsidRDefault="0044654E" w:rsidP="00533385">
                  <w:pPr>
                    <w:ind w:firstLine="16"/>
                    <w:rPr>
                      <w:rFonts w:ascii="Times New Roman" w:hAnsi="Times New Roman"/>
                      <w:bCs/>
                      <w:color w:val="000000"/>
                      <w:szCs w:val="24"/>
                    </w:rPr>
                  </w:pPr>
                </w:p>
              </w:tc>
            </w:tr>
          </w:tbl>
          <w:p w:rsidR="0044654E" w:rsidRPr="00856822" w:rsidRDefault="0044654E" w:rsidP="00533385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44654E" w:rsidRPr="006F1EE0" w:rsidRDefault="0044654E" w:rsidP="0044654E">
      <w:pPr>
        <w:jc w:val="center"/>
        <w:rPr>
          <w:rFonts w:ascii="Times New Roman" w:hAnsi="Times New Roman"/>
          <w:color w:val="000000"/>
          <w:szCs w:val="24"/>
        </w:rPr>
      </w:pPr>
    </w:p>
    <w:p w:rsidR="0044654E" w:rsidRPr="006F1EE0" w:rsidRDefault="0044654E" w:rsidP="0044654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  <w:r w:rsidRPr="006F1EE0">
        <w:rPr>
          <w:rFonts w:ascii="Times New Roman" w:hAnsi="Times New Roman"/>
          <w:b/>
          <w:szCs w:val="24"/>
          <w:lang w:eastAsia="ru-RU"/>
        </w:rPr>
        <w:t>Контактное лицо</w:t>
      </w:r>
      <w:r w:rsidRPr="006F1EE0"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6F1EE0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47-50</w:t>
      </w:r>
      <w:r w:rsidRPr="006F1EE0">
        <w:rPr>
          <w:rFonts w:ascii="Times New Roman" w:hAnsi="Times New Roman"/>
          <w:bCs/>
          <w:color w:val="000000"/>
          <w:szCs w:val="24"/>
        </w:rPr>
        <w:t>.</w:t>
      </w:r>
    </w:p>
    <w:p w:rsidR="0044654E" w:rsidRDefault="0044654E" w:rsidP="0044654E">
      <w:pPr>
        <w:suppressAutoHyphens w:val="0"/>
        <w:ind w:firstLine="54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8E3C0C">
      <w:bookmarkStart w:id="1" w:name="_GoBack"/>
      <w:bookmarkEnd w:id="1"/>
    </w:p>
    <w:sectPr w:rsidR="008E3C0C" w:rsidSect="009C1DB0">
      <w:footerReference w:type="default" r:id="rId5"/>
      <w:pgSz w:w="11906" w:h="16838"/>
      <w:pgMar w:top="1134" w:right="707" w:bottom="1134" w:left="851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B1C" w:rsidRDefault="0044654E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6E7B1C" w:rsidRDefault="0044654E">
    <w:pPr>
      <w:pStyle w:val="a3"/>
    </w:pPr>
  </w:p>
  <w:p w:rsidR="006E7B1C" w:rsidRDefault="0044654E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A45"/>
    <w:rsid w:val="00041A45"/>
    <w:rsid w:val="0044654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465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4654E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4465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44654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4654E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44654E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44654E"/>
    <w:pPr>
      <w:spacing w:line="360" w:lineRule="auto"/>
      <w:ind w:firstLine="720"/>
      <w:jc w:val="both"/>
    </w:pPr>
    <w:rPr>
      <w:rFonts w:ascii="Times New Roman" w:hAnsi="Times New Roman"/>
      <w:sz w:val="28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44654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54E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rsid w:val="0044654E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44654E"/>
    <w:rPr>
      <w:rFonts w:ascii="Arial" w:eastAsia="Times New Roman" w:hAnsi="Arial"/>
      <w:szCs w:val="20"/>
      <w:lang w:eastAsia="ar-SA"/>
    </w:rPr>
  </w:style>
  <w:style w:type="paragraph" w:styleId="a5">
    <w:name w:val="Body Text"/>
    <w:basedOn w:val="a"/>
    <w:link w:val="10"/>
    <w:rsid w:val="0044654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44654E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rsid w:val="0044654E"/>
    <w:rPr>
      <w:rFonts w:ascii="Arial" w:eastAsia="Times New Roman" w:hAnsi="Arial"/>
      <w:szCs w:val="20"/>
      <w:lang w:eastAsia="ar-SA"/>
    </w:rPr>
  </w:style>
  <w:style w:type="character" w:customStyle="1" w:styleId="10">
    <w:name w:val="Основной текст Знак1"/>
    <w:link w:val="a5"/>
    <w:rsid w:val="0044654E"/>
    <w:rPr>
      <w:rFonts w:eastAsia="Times New Roman"/>
      <w:lang w:eastAsia="ru-RU"/>
    </w:rPr>
  </w:style>
  <w:style w:type="paragraph" w:customStyle="1" w:styleId="a7">
    <w:name w:val="Обычный текст с отступом"/>
    <w:basedOn w:val="a"/>
    <w:rsid w:val="0044654E"/>
    <w:pPr>
      <w:spacing w:line="360" w:lineRule="auto"/>
      <w:ind w:firstLine="720"/>
      <w:jc w:val="both"/>
    </w:pPr>
    <w:rPr>
      <w:rFonts w:ascii="Times New Roman" w:hAnsi="Times New Roman"/>
      <w:sz w:val="28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44654E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2000</Words>
  <Characters>11403</Characters>
  <Application>Microsoft Office Word</Application>
  <DocSecurity>0</DocSecurity>
  <Lines>95</Lines>
  <Paragraphs>26</Paragraphs>
  <ScaleCrop>false</ScaleCrop>
  <Company>Организация</Company>
  <LinksUpToDate>false</LinksUpToDate>
  <CharactersWithSpaces>13377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2014-07-07T11:16:00Z</dcterms:created>
  <dcterms:modified xsi:type="dcterms:W3CDTF">2014-07-07T11:16:00Z</dcterms:modified>
</cp:coreProperties>
</file>