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BA3" w:rsidRPr="00636BA3" w:rsidRDefault="00636BA3" w:rsidP="00BC5F9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F1BD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BA3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июня 2012 г.</w:t>
      </w:r>
    </w:p>
    <w:p w:rsidR="00BC5F9A" w:rsidRPr="0065348A" w:rsidRDefault="003F1BD8" w:rsidP="00BC5F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к запросу на р</w:t>
      </w:r>
      <w:r w:rsidR="00BC5F9A" w:rsidRPr="0065348A">
        <w:rPr>
          <w:rFonts w:ascii="Times New Roman" w:hAnsi="Times New Roman" w:cs="Times New Roman"/>
          <w:sz w:val="28"/>
          <w:szCs w:val="28"/>
        </w:rPr>
        <w:t>азъяснени</w:t>
      </w:r>
      <w:r>
        <w:rPr>
          <w:rFonts w:ascii="Times New Roman" w:hAnsi="Times New Roman" w:cs="Times New Roman"/>
          <w:sz w:val="28"/>
          <w:szCs w:val="28"/>
        </w:rPr>
        <w:t>е положений документации</w:t>
      </w:r>
      <w:r w:rsidR="00BC5F9A" w:rsidRPr="0065348A">
        <w:rPr>
          <w:rFonts w:ascii="Times New Roman" w:hAnsi="Times New Roman" w:cs="Times New Roman"/>
          <w:sz w:val="28"/>
          <w:szCs w:val="28"/>
        </w:rPr>
        <w:t xml:space="preserve"> </w:t>
      </w:r>
      <w:r w:rsidR="00636B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проведение открытого запроса цен в электронной форме.</w:t>
      </w:r>
    </w:p>
    <w:p w:rsidR="00636BA3" w:rsidRDefault="00B55CCA" w:rsidP="00636BA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36BA3">
        <w:rPr>
          <w:rFonts w:ascii="Times New Roman" w:hAnsi="Times New Roman" w:cs="Times New Roman"/>
          <w:sz w:val="24"/>
          <w:szCs w:val="24"/>
        </w:rPr>
        <w:t>В соответствии с поступившим запросом</w:t>
      </w:r>
      <w:r w:rsidR="003F1BD8">
        <w:rPr>
          <w:rFonts w:ascii="Times New Roman" w:hAnsi="Times New Roman" w:cs="Times New Roman"/>
          <w:sz w:val="24"/>
          <w:szCs w:val="24"/>
        </w:rPr>
        <w:t>,</w:t>
      </w:r>
      <w:r w:rsidR="00636BA3">
        <w:rPr>
          <w:rFonts w:ascii="Times New Roman" w:hAnsi="Times New Roman" w:cs="Times New Roman"/>
          <w:sz w:val="24"/>
          <w:szCs w:val="24"/>
        </w:rPr>
        <w:t xml:space="preserve"> на разъяснение содержания Документации на проведение открытого запроса цен в электронной форме </w:t>
      </w:r>
      <w:r w:rsidR="00636BA3" w:rsidRPr="00636BA3">
        <w:rPr>
          <w:rFonts w:ascii="Times New Roman" w:hAnsi="Times New Roman" w:cs="Times New Roman"/>
          <w:sz w:val="24"/>
          <w:szCs w:val="24"/>
        </w:rPr>
        <w:t>на право заключения договора на поставку сетевых компонентов и расходных материалов для выполнения услуг филиала ЗАО «</w:t>
      </w:r>
      <w:proofErr w:type="spellStart"/>
      <w:r w:rsidR="00636BA3" w:rsidRPr="00636BA3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="00636BA3" w:rsidRPr="00636BA3">
        <w:rPr>
          <w:rFonts w:ascii="Times New Roman" w:hAnsi="Times New Roman" w:cs="Times New Roman"/>
          <w:sz w:val="24"/>
          <w:szCs w:val="24"/>
        </w:rPr>
        <w:t xml:space="preserve">» в </w:t>
      </w:r>
      <w:proofErr w:type="gramStart"/>
      <w:r w:rsidR="00636BA3" w:rsidRPr="00636BA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636BA3" w:rsidRPr="00636BA3">
        <w:rPr>
          <w:rFonts w:ascii="Times New Roman" w:hAnsi="Times New Roman" w:cs="Times New Roman"/>
          <w:sz w:val="24"/>
          <w:szCs w:val="24"/>
        </w:rPr>
        <w:t>. Электросталь</w:t>
      </w:r>
      <w:r w:rsidR="00636BA3">
        <w:rPr>
          <w:rFonts w:ascii="Times New Roman" w:hAnsi="Times New Roman" w:cs="Times New Roman"/>
          <w:sz w:val="24"/>
          <w:szCs w:val="24"/>
        </w:rPr>
        <w:t>.</w:t>
      </w:r>
    </w:p>
    <w:p w:rsidR="00636BA3" w:rsidRPr="00636BA3" w:rsidRDefault="00636BA3" w:rsidP="00636BA3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Поясняем:</w:t>
      </w:r>
    </w:p>
    <w:p w:rsidR="00CE1108" w:rsidRPr="0065348A" w:rsidRDefault="00BC5F9A" w:rsidP="00636BA3">
      <w:pPr>
        <w:jc w:val="both"/>
        <w:rPr>
          <w:rFonts w:ascii="Times New Roman" w:hAnsi="Times New Roman" w:cs="Times New Roman"/>
          <w:sz w:val="24"/>
          <w:szCs w:val="24"/>
        </w:rPr>
      </w:pPr>
      <w:r w:rsidRPr="0065348A">
        <w:rPr>
          <w:rFonts w:ascii="Times New Roman" w:hAnsi="Times New Roman" w:cs="Times New Roman"/>
          <w:sz w:val="24"/>
          <w:szCs w:val="24"/>
        </w:rPr>
        <w:t>В связи с тем, что позиции № 3 и № 4 указанные в Томе 2</w:t>
      </w:r>
      <w:r w:rsidR="0065348A" w:rsidRPr="0065348A">
        <w:rPr>
          <w:rFonts w:ascii="Times New Roman" w:hAnsi="Times New Roman" w:cs="Times New Roman"/>
          <w:sz w:val="24"/>
          <w:szCs w:val="24"/>
        </w:rPr>
        <w:t xml:space="preserve"> «</w:t>
      </w:r>
      <w:r w:rsidRPr="0065348A">
        <w:rPr>
          <w:rFonts w:ascii="Times New Roman" w:hAnsi="Times New Roman" w:cs="Times New Roman"/>
          <w:sz w:val="24"/>
          <w:szCs w:val="24"/>
        </w:rPr>
        <w:t xml:space="preserve"> Техническая часть</w:t>
      </w:r>
      <w:r w:rsidR="0065348A" w:rsidRPr="0065348A">
        <w:rPr>
          <w:rFonts w:ascii="Times New Roman" w:hAnsi="Times New Roman" w:cs="Times New Roman"/>
          <w:sz w:val="24"/>
          <w:szCs w:val="24"/>
        </w:rPr>
        <w:t>»</w:t>
      </w:r>
      <w:r w:rsidRPr="0065348A">
        <w:rPr>
          <w:rFonts w:ascii="Times New Roman" w:hAnsi="Times New Roman" w:cs="Times New Roman"/>
          <w:sz w:val="24"/>
          <w:szCs w:val="24"/>
        </w:rPr>
        <w:t>, настоящей документации сняты с производства,</w:t>
      </w:r>
      <w:r w:rsidR="0065348A" w:rsidRPr="0065348A">
        <w:rPr>
          <w:rFonts w:ascii="Times New Roman" w:hAnsi="Times New Roman" w:cs="Times New Roman"/>
          <w:sz w:val="24"/>
          <w:szCs w:val="24"/>
        </w:rPr>
        <w:t xml:space="preserve"> ЗАО «</w:t>
      </w:r>
      <w:proofErr w:type="spellStart"/>
      <w:r w:rsidR="0065348A" w:rsidRPr="0065348A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="0065348A" w:rsidRPr="0065348A">
        <w:rPr>
          <w:rFonts w:ascii="Times New Roman" w:hAnsi="Times New Roman" w:cs="Times New Roman"/>
          <w:sz w:val="24"/>
          <w:szCs w:val="24"/>
        </w:rPr>
        <w:t>»</w:t>
      </w:r>
      <w:r w:rsidRPr="0065348A">
        <w:rPr>
          <w:rFonts w:ascii="Times New Roman" w:hAnsi="Times New Roman" w:cs="Times New Roman"/>
          <w:sz w:val="24"/>
          <w:szCs w:val="24"/>
        </w:rPr>
        <w:t xml:space="preserve"> подтверждае</w:t>
      </w:r>
      <w:r w:rsidR="0065348A" w:rsidRPr="0065348A">
        <w:rPr>
          <w:rFonts w:ascii="Times New Roman" w:hAnsi="Times New Roman" w:cs="Times New Roman"/>
          <w:sz w:val="24"/>
          <w:szCs w:val="24"/>
        </w:rPr>
        <w:t>т</w:t>
      </w:r>
      <w:r w:rsidRPr="0065348A">
        <w:rPr>
          <w:rFonts w:ascii="Times New Roman" w:hAnsi="Times New Roman" w:cs="Times New Roman"/>
          <w:sz w:val="24"/>
          <w:szCs w:val="24"/>
        </w:rPr>
        <w:t xml:space="preserve"> возможность поставки аналогов  производства НР (технические характеристики которых изложены ниже).</w:t>
      </w:r>
    </w:p>
    <w:p w:rsidR="00BC5F9A" w:rsidRPr="0065348A" w:rsidRDefault="0065348A" w:rsidP="00636BA3">
      <w:pPr>
        <w:jc w:val="both"/>
        <w:rPr>
          <w:rFonts w:ascii="Times New Roman" w:hAnsi="Times New Roman" w:cs="Times New Roman"/>
        </w:rPr>
      </w:pPr>
      <w:r w:rsidRPr="0065348A">
        <w:rPr>
          <w:rFonts w:ascii="Times New Roman" w:hAnsi="Times New Roman" w:cs="Times New Roman"/>
          <w:sz w:val="24"/>
          <w:szCs w:val="24"/>
          <w:u w:val="single"/>
        </w:rPr>
        <w:t xml:space="preserve">Заявленная </w:t>
      </w:r>
      <w:r w:rsidR="001D045E" w:rsidRPr="0065348A">
        <w:rPr>
          <w:rFonts w:ascii="Times New Roman" w:hAnsi="Times New Roman" w:cs="Times New Roman"/>
          <w:sz w:val="24"/>
          <w:szCs w:val="24"/>
          <w:u w:val="single"/>
        </w:rPr>
        <w:t>в техническ</w:t>
      </w:r>
      <w:r w:rsidR="001D045E">
        <w:rPr>
          <w:rFonts w:ascii="Times New Roman" w:hAnsi="Times New Roman" w:cs="Times New Roman"/>
          <w:sz w:val="24"/>
          <w:szCs w:val="24"/>
          <w:u w:val="single"/>
        </w:rPr>
        <w:t>ой</w:t>
      </w:r>
      <w:r w:rsidR="001D045E" w:rsidRPr="0065348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D045E">
        <w:rPr>
          <w:rFonts w:ascii="Times New Roman" w:hAnsi="Times New Roman" w:cs="Times New Roman"/>
          <w:sz w:val="24"/>
          <w:szCs w:val="24"/>
          <w:u w:val="single"/>
        </w:rPr>
        <w:t>части</w:t>
      </w:r>
      <w:r w:rsidR="001D045E" w:rsidRPr="0065348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5348A">
        <w:rPr>
          <w:rFonts w:ascii="Times New Roman" w:hAnsi="Times New Roman" w:cs="Times New Roman"/>
          <w:sz w:val="24"/>
          <w:szCs w:val="24"/>
          <w:u w:val="single"/>
        </w:rPr>
        <w:t>п</w:t>
      </w:r>
      <w:r w:rsidR="00BC5F9A" w:rsidRPr="0065348A">
        <w:rPr>
          <w:rFonts w:ascii="Times New Roman" w:hAnsi="Times New Roman" w:cs="Times New Roman"/>
          <w:sz w:val="24"/>
          <w:szCs w:val="24"/>
          <w:u w:val="single"/>
        </w:rPr>
        <w:t>озиция № 3:</w:t>
      </w:r>
      <w:r w:rsidR="00BC5F9A" w:rsidRPr="0065348A">
        <w:rPr>
          <w:rFonts w:ascii="Times New Roman" w:hAnsi="Times New Roman" w:cs="Times New Roman"/>
          <w:sz w:val="24"/>
          <w:szCs w:val="24"/>
        </w:rPr>
        <w:t xml:space="preserve">     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>Коммутатор 3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Switch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 xml:space="preserve"> 4210 24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>10/100 2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 xml:space="preserve">1000 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or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 xml:space="preserve"> 2</w:t>
      </w:r>
      <w:proofErr w:type="spellStart"/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xSFP</w:t>
      </w:r>
      <w:proofErr w:type="spellEnd"/>
      <w:r w:rsidR="00BC5F9A" w:rsidRPr="0065348A">
        <w:rPr>
          <w:rFonts w:ascii="Times New Roman" w:hAnsi="Times New Roman" w:cs="Times New Roman"/>
          <w:b/>
          <w:sz w:val="24"/>
          <w:szCs w:val="24"/>
        </w:rPr>
        <w:t xml:space="preserve"> [3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CR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>17333-91-</w:t>
      </w:r>
      <w:r w:rsidR="00BC5F9A" w:rsidRPr="0065348A">
        <w:rPr>
          <w:rFonts w:ascii="Times New Roman" w:hAnsi="Times New Roman" w:cs="Times New Roman"/>
          <w:b/>
          <w:sz w:val="24"/>
          <w:szCs w:val="24"/>
          <w:lang w:val="en-US"/>
        </w:rPr>
        <w:t>ME</w:t>
      </w:r>
      <w:r w:rsidR="00BC5F9A" w:rsidRPr="0065348A">
        <w:rPr>
          <w:rFonts w:ascii="Times New Roman" w:hAnsi="Times New Roman" w:cs="Times New Roman"/>
          <w:b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колличестве</w:t>
      </w:r>
      <w:proofErr w:type="spellEnd"/>
      <w:r w:rsidR="00BC5F9A" w:rsidRPr="0065348A">
        <w:rPr>
          <w:rFonts w:ascii="Times New Roman" w:hAnsi="Times New Roman" w:cs="Times New Roman"/>
          <w:sz w:val="24"/>
          <w:szCs w:val="24"/>
        </w:rPr>
        <w:t xml:space="preserve"> 10 шт.</w:t>
      </w:r>
    </w:p>
    <w:p w:rsidR="00BC5F9A" w:rsidRPr="0065348A" w:rsidRDefault="00BC5F9A" w:rsidP="0065348A">
      <w:pPr>
        <w:rPr>
          <w:rFonts w:ascii="Times New Roman" w:hAnsi="Times New Roman" w:cs="Times New Roman"/>
          <w:sz w:val="24"/>
          <w:szCs w:val="24"/>
        </w:rPr>
      </w:pPr>
      <w:r w:rsidRPr="0065348A">
        <w:rPr>
          <w:rFonts w:ascii="Times New Roman" w:hAnsi="Times New Roman" w:cs="Times New Roman"/>
          <w:sz w:val="24"/>
          <w:szCs w:val="24"/>
          <w:u w:val="single"/>
        </w:rPr>
        <w:t>Аналог:</w:t>
      </w:r>
      <w:r w:rsidR="0065348A" w:rsidRPr="0065348A">
        <w:rPr>
          <w:rFonts w:ascii="Times New Roman" w:hAnsi="Times New Roman" w:cs="Times New Roman"/>
          <w:sz w:val="24"/>
          <w:szCs w:val="24"/>
        </w:rPr>
        <w:t xml:space="preserve"> </w:t>
      </w:r>
      <w:r w:rsidR="00636BA3">
        <w:rPr>
          <w:rFonts w:ascii="Times New Roman" w:hAnsi="Times New Roman" w:cs="Times New Roman"/>
          <w:sz w:val="24"/>
          <w:szCs w:val="24"/>
        </w:rPr>
        <w:t xml:space="preserve">      </w:t>
      </w:r>
      <w:r w:rsidRPr="0065348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Коммутатор HP 2510-24 (J9019B)</w:t>
      </w:r>
    </w:p>
    <w:p w:rsidR="00BC5F9A" w:rsidRPr="00BC5F9A" w:rsidRDefault="00BC5F9A" w:rsidP="00BC5F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BC5F9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Технические характеристики</w:t>
      </w:r>
      <w:r w:rsidR="00690B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(не ниже)</w:t>
      </w:r>
      <w:r w:rsidRPr="00BC5F9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:</w:t>
      </w: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272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Порты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порта с автоматическим определением 10/100 (протокол: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IEEE 802.3, тип 10Base-T, протокол IEEE 802.3u, тип 100Base-TХ); Дуплексный режим: полно- или полудуплексный; тип носителя: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ProCurve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Auto-MDIX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1 последовательная консоль RJ-45; 2 порта двойного назначения - каждый порт может использоваться как порт RJ-45 с автоматическим определением 10/100/1000 (протокол IEEE 802.3, тип 10Base-T;протокол IEEE 802.3u, тип 100Base-TX; протокол IEEE 802.3ab, 1000Base-T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Gigabit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Ethernet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или как свободный слот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mini-GBIC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использования с трансиверами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mini-GBIC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Монтируется в стандартную 19-дюймовую телекоммуникационную стойку EIA или шкаф для электрооборудования (крепежные детали включены в комплект); монтируется только в горизонтальном положении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Память и процессор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Процессор: MIPS 32 с частотой 264 </w:t>
            </w:r>
            <w:proofErr w:type="spellStart"/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8 МБ флэш-памяти, размер пакетного буфера: 384 КБ, 64 МБ SDRAM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задержки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Мб Время ожидания: &lt; 4,9 мкс (размер пакета 64 байта); 1000 Мб Время ожидания: &lt; 2,6 мкс (размер пакета 64 байта)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Пропускная способность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6,5 млн. пакетов в секунду (размер пакета 64 байта)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Функции 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управления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HP PCM+; HP PCM; интерфейс командной строки;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веб-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браузер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внешнее управление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Производительность коммутации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 Гбит/с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Подключение и средства связи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протоколы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IEEE 802.1p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Priority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IEEE 802.1Q VLAN; IEEE 802.1s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Multiple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Spanning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Trees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IEEE 802.3ad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Aggregation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Protocol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(LACP); IEEE 802.3x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Flow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RFC 768 UDP; RFC 783 TFTP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Protocol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(версия 2); RFC 792 ICMP; RFC 793 TCP; RFC 826 ARP; RFC 854 TELNET; RFC 951 BOOTP;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Расширения RFC 1542 BOOTP; RFC 2030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Network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Time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Protocol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(SNTP) v4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сетью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IEEE 802.1AB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Layer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Discovery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Protocol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(LLDP); RFC 2819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етыре группы RMON: 1 (статистика), 2 (история), 3 (оповещения) и 9 (события); SNMPv1/v2c/v3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Питание и условия эксплуатации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Потребляемая мощность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Вт (максимум)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на входе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100–127/200–240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переменного тока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Входной рабочий ток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0,7/0,4 A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Входная частота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50/60 Гц</w:t>
            </w:r>
          </w:p>
        </w:tc>
      </w:tr>
      <w:tr w:rsidR="00BC5F9A" w:rsidRPr="00BC79CB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cUL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(CSA 22.2 № 60950); UL 60950-1; IEC 60950; EN 60950</w:t>
            </w:r>
          </w:p>
        </w:tc>
      </w:tr>
      <w:tr w:rsidR="00BC5F9A" w:rsidRPr="00BC79CB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Электромагнитная совместимость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FCC 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A; VCCI 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A; EN 55022/CISPR 22 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A; IEC/EN 61000-3-2; IEC/EN 61000-3-3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температур при эксплуатации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0° - 45 °C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Влажность при эксплуатации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 до 95% при 40 ?C без конденсации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Эксплуатационная высота над уровнем моря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 км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Акустическое давление шумовой эмиссии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Мощность: 0 дБ без вентилятора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Тепловыделение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68 BTU/ч (71,74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kJ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/ч)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Стандартная устойчивость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 55024, CISPR 24; IEC 61000-4-2; IEC 61000-4-3; IEC 61000-4-4; IEC 61000-4-5; IEC 61000-4-6; IEC 61000-4-8; IEC 61000-4-11; EN 61000-3-2, IEC 61000-3-2; EN 61000-3-3, IEC 61000-3-3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Размеры и вес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размер (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В)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23,62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44,25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4,39 см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2,22 кг</w:t>
            </w:r>
          </w:p>
        </w:tc>
      </w:tr>
    </w:tbl>
    <w:p w:rsidR="00BC5F9A" w:rsidRDefault="00BC5F9A" w:rsidP="00BC5F9A"/>
    <w:p w:rsidR="00BC5F9A" w:rsidRDefault="00BC5F9A" w:rsidP="00BC5F9A"/>
    <w:p w:rsidR="00B55CCA" w:rsidRDefault="00B55CCA" w:rsidP="00BC5F9A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C5F9A" w:rsidRPr="00B55CCA" w:rsidRDefault="0065348A" w:rsidP="00636BA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55CCA">
        <w:rPr>
          <w:rFonts w:ascii="Times New Roman" w:hAnsi="Times New Roman" w:cs="Times New Roman"/>
          <w:sz w:val="24"/>
          <w:szCs w:val="24"/>
          <w:u w:val="single"/>
        </w:rPr>
        <w:t xml:space="preserve">Заявленная </w:t>
      </w:r>
      <w:r w:rsidR="001D045E" w:rsidRPr="00B55CCA">
        <w:rPr>
          <w:rFonts w:ascii="Times New Roman" w:hAnsi="Times New Roman" w:cs="Times New Roman"/>
          <w:sz w:val="24"/>
          <w:szCs w:val="24"/>
          <w:u w:val="single"/>
        </w:rPr>
        <w:t xml:space="preserve">в технической части </w:t>
      </w:r>
      <w:r w:rsidRPr="00B55CCA">
        <w:rPr>
          <w:rFonts w:ascii="Times New Roman" w:hAnsi="Times New Roman" w:cs="Times New Roman"/>
          <w:sz w:val="24"/>
          <w:szCs w:val="24"/>
          <w:u w:val="single"/>
        </w:rPr>
        <w:t xml:space="preserve">позиция </w:t>
      </w:r>
      <w:r w:rsidR="00BC5F9A" w:rsidRPr="00B55CCA">
        <w:rPr>
          <w:rFonts w:ascii="Times New Roman" w:hAnsi="Times New Roman" w:cs="Times New Roman"/>
          <w:sz w:val="24"/>
          <w:szCs w:val="24"/>
          <w:u w:val="single"/>
        </w:rPr>
        <w:t xml:space="preserve">№ 4: </w:t>
      </w:r>
      <w:r w:rsidR="00BC5F9A" w:rsidRPr="00B55CCA">
        <w:rPr>
          <w:rFonts w:ascii="Times New Roman" w:hAnsi="Times New Roman" w:cs="Times New Roman"/>
          <w:sz w:val="24"/>
          <w:szCs w:val="24"/>
        </w:rPr>
        <w:t xml:space="preserve">   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 Коммутатор 3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Switch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5500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psu</w:t>
      </w:r>
      <w:proofErr w:type="spellEnd"/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48-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Port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 xml:space="preserve"> [3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>17267-</w:t>
      </w:r>
      <w:r w:rsidR="00BC5F9A" w:rsidRPr="00B55CCA">
        <w:rPr>
          <w:rFonts w:ascii="Times New Roman" w:hAnsi="Times New Roman" w:cs="Times New Roman"/>
          <w:b/>
          <w:sz w:val="24"/>
          <w:szCs w:val="24"/>
          <w:lang w:val="en-US"/>
        </w:rPr>
        <w:t>ME</w:t>
      </w:r>
      <w:r w:rsidR="00BC5F9A" w:rsidRPr="00B55CCA">
        <w:rPr>
          <w:rFonts w:ascii="Times New Roman" w:hAnsi="Times New Roman" w:cs="Times New Roman"/>
          <w:b/>
          <w:sz w:val="24"/>
          <w:szCs w:val="24"/>
        </w:rPr>
        <w:t>]</w:t>
      </w:r>
      <w:r w:rsidR="00B55CCA" w:rsidRPr="00B55CCA">
        <w:rPr>
          <w:rFonts w:ascii="Times New Roman" w:hAnsi="Times New Roman" w:cs="Times New Roman"/>
          <w:sz w:val="24"/>
          <w:szCs w:val="24"/>
        </w:rPr>
        <w:t xml:space="preserve"> в количестве</w:t>
      </w:r>
      <w:r w:rsidR="00BC5F9A" w:rsidRPr="00B55CCA">
        <w:rPr>
          <w:rFonts w:ascii="Times New Roman" w:hAnsi="Times New Roman" w:cs="Times New Roman"/>
          <w:sz w:val="24"/>
          <w:szCs w:val="24"/>
        </w:rPr>
        <w:t xml:space="preserve"> 2 шт.</w:t>
      </w:r>
    </w:p>
    <w:p w:rsidR="00BC5F9A" w:rsidRPr="00B55CCA" w:rsidRDefault="00BC5F9A" w:rsidP="00B55CC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55CCA">
        <w:rPr>
          <w:rFonts w:ascii="Times New Roman" w:hAnsi="Times New Roman" w:cs="Times New Roman"/>
          <w:sz w:val="24"/>
          <w:szCs w:val="24"/>
          <w:u w:val="single"/>
        </w:rPr>
        <w:t>Аналог:</w:t>
      </w:r>
      <w:r w:rsidR="00B55CC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36BA3" w:rsidRPr="00636BA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55CCA">
        <w:rPr>
          <w:rFonts w:ascii="Times New Roman" w:hAnsi="Times New Roman" w:cs="Times New Roman"/>
          <w:b/>
          <w:sz w:val="24"/>
          <w:szCs w:val="24"/>
        </w:rPr>
        <w:t>Коммутатор HP 4800-48G (JD010A)</w:t>
      </w:r>
    </w:p>
    <w:p w:rsidR="00BC5F9A" w:rsidRPr="00B55CCA" w:rsidRDefault="00BC5F9A" w:rsidP="00BC5F9A">
      <w:pPr>
        <w:pStyle w:val="1"/>
        <w:rPr>
          <w:sz w:val="24"/>
          <w:szCs w:val="24"/>
        </w:rPr>
      </w:pPr>
      <w:r w:rsidRPr="00B55CCA">
        <w:rPr>
          <w:sz w:val="24"/>
          <w:szCs w:val="24"/>
        </w:rPr>
        <w:t>Технические характеристики</w:t>
      </w:r>
      <w:r w:rsidR="00636BA3">
        <w:rPr>
          <w:sz w:val="24"/>
          <w:szCs w:val="24"/>
        </w:rPr>
        <w:t xml:space="preserve"> (не ниже)</w:t>
      </w:r>
      <w:r w:rsidR="00B55CCA">
        <w:rPr>
          <w:sz w:val="24"/>
          <w:szCs w:val="24"/>
        </w:rPr>
        <w:t>:</w:t>
      </w: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088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Порты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слота для модулей; 44 порта 10/100/1000 с автоматическим согласованием скорости и режима работы (IEEE 802.3, тип 10BASE-T, IEEE 802.3u, тип 100BASE-TX, IEEE 802.3ab, тип 1000BASE-T); 4 порта 10/100/1000 двойного назначения (IEEE 802.3 тип 10BASE-T, IEEE 802.3u тип 100BASE-TX, IEEE 802.3ab тип 1000BASE-T);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Поддержка до 4 портов 10-GbE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Монтируется в стандартную 19-дюймовую телекоммуникационную стойку EIA или шкаф для электрооборудования (крепежные детали включены в комплект поставки)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Память и процессор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Модуль: MPC8349 при 533 </w:t>
            </w:r>
            <w:proofErr w:type="spellStart"/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ОЗУ 256 МБ, размер пакетного буфера: 4 МБ, флэш-память 32 МБ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задержки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Мбит Время ожидания: &lt; 10 мкс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Пропускная способность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142,9 млн. пакетов в секунду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Производительность маршрутизации/коммутации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 Гб/с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таблицы маршрутизации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12000 записей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 управления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IMC –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Intelligent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Management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Center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интерфейс командной строки;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веб-браузер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внешнее управление (последовательный RS-232C); SNMP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Manager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Telnet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HTTPS; IEEE 802.3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Ethernet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MIB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Подключение и средства связи</w:t>
            </w:r>
          </w:p>
        </w:tc>
      </w:tr>
      <w:tr w:rsidR="00BC5F9A" w:rsidRPr="00BC79CB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протоколы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IEEE 802.1ag Service Layer OAM; IEEE 802.1D MAC Bridges; IEEE 802.1p Priority; IEEE 802.1Q (GVRP); IEEE 802.1Q VLANs; IEEE 802.1s (MSTP); IEEE 802.1s Multiple Spanning Trees; IEEE 802.1v VLAN classification by </w:t>
            </w: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Protocol and Port; IEEE 802.1w Rapid Reconfiguration of Spanning Tree; IEEE 802.1X PAE; IEEE 802.3ab 1000BASE-T; IEEE 802.3ac (VLAN Tagging Extension); IEEE 802.3ad Link Aggregation (LAG); IEEE 802.3ae 10-Gigabit Ethernet; IEEE 802.3af Power over Ethernet; IEEE 802.3ag Ethernet OAM; IEEE 802.3ah Ethernet in First Mile over Point to Point Fiber - EFMF; IEEE 802.3i 10BASE-T; IEEE 802.3u 100BASE-X; IEEE 802.3x Flow Control; IEEE 802.3z 1000BASE-X; RFC 768 UDP; RFC 791 IP; RFC 792 ICMP; RFC 793 TCP; RFC 826 ARP; RFC 854 TELNET; RFC 856 TELNET; RFC 925 Multi-LAN Address Resolution; RFC 950 Internet Standard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Subnetting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Procedure; RFC 951 BOOTP; RFC 1058 RIPv1; RFC 1122 Host Requirements; RFC 1141 Incremental updating of the Internet checksum; RFC 1253 (OSPF v2); RFC 1305 NTPv3; RFC 1350 TFTP Protocol (revision 2); RFC 1389 RIPv2 MIB Extension; RFC 1519 CIDR; RFC 1542 BOOTP Extensions; RFC 1723 RIP v2; RFC 1812 IPv4 Routing; RFC 2131 DHCP; RFC 2236 IGMP Snooping; RFC 2284 EAP over LAN; RFC 2616 HTTP Compatibility v1.1; RFC 2644 Directed Broadcast Control; RFC 2767 Dual Stacks IPv4 &amp; IPv6; RFC 3246 Expedited Forwarding PHB; RFC 3410 Applicability Statements for SNMP; RFC 3416 Protocol Operations for SNMP; RFC 3417 Transport Mappings for the Simple Network Management Protocol (SNMP); RFC 3623 Graceful OSPF Restart; RFC 3704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Unicast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Reverse Path Forwarding (URPF); RFC 3768 VRRP; RFC 4213 Basic IPv6 Transition Mechanisms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сетью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IEEE 802.1AB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Link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Layer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Discovery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Protocol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(LLDP); IEEE 802.1D (STP); RFC 1157 – SNMPv1; RFC 1215 – SNMP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Generic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traps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RFC 1757 – 4 группы RMON: статистика, история, оповещения и события; RFC 1901 – введение в SNMPv2; RFC 1918 – распределение адресов в частных IP-сетях; RFC 2575 – VACM для SNMP; RFC 2576 – совместное использование различных версий SNMP;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RFC 2578 – SMIv2; RFC 2581 – TCP6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Питание и условия эксплуатации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на входе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100-240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переменного тока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Входная частота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50/60 Гц</w:t>
            </w:r>
          </w:p>
        </w:tc>
      </w:tr>
      <w:tr w:rsidR="00BC5F9A" w:rsidRPr="00BC79CB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UL 60950; IEC 60950-1; EN 60950-1; CAN/CSA-C22.2 № 60950-1-03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Электромагнитная совместимость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FCC часть 15 Класс A; VCCI Класс A; CISPR 22 Класс A; EN 55024; EN 55022 1998 Класс А; EN 61000-3-2 2000, 61000-3-3; ICES-003 Класс A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Диапазон температур при эксплуатации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0° - 45 °C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Влажность при эксплуатации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 до 90% без конденсации</w:t>
            </w:r>
          </w:p>
        </w:tc>
      </w:tr>
    </w:tbl>
    <w:p w:rsidR="00BC5F9A" w:rsidRPr="00CA6A54" w:rsidRDefault="00BC5F9A" w:rsidP="00BC5F9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7" w:type="dxa"/>
        <w:shd w:val="clear" w:color="auto" w:fill="CCCCCC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21"/>
        <w:gridCol w:w="6157"/>
      </w:tblGrid>
      <w:tr w:rsidR="00BC5F9A" w:rsidRPr="00CA6A54" w:rsidTr="00887D51">
        <w:trPr>
          <w:tblCellSpacing w:w="7" w:type="dxa"/>
        </w:trPr>
        <w:tc>
          <w:tcPr>
            <w:tcW w:w="8250" w:type="dxa"/>
            <w:gridSpan w:val="2"/>
            <w:shd w:val="clear" w:color="auto" w:fill="CCCCCC"/>
            <w:vAlign w:val="center"/>
            <w:hideMark/>
          </w:tcPr>
          <w:p w:rsidR="00BC5F9A" w:rsidRPr="00CA6A54" w:rsidRDefault="00BC5F9A" w:rsidP="00887D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Размеры и вес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размер (</w:t>
            </w:r>
            <w:proofErr w:type="gram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В)</w:t>
            </w:r>
          </w:p>
        </w:tc>
        <w:tc>
          <w:tcPr>
            <w:tcW w:w="6015" w:type="dxa"/>
            <w:shd w:val="clear" w:color="auto" w:fill="E7E7E7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29,97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44,2 </w:t>
            </w:r>
            <w:proofErr w:type="spellStart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proofErr w:type="spellEnd"/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4,32 см</w:t>
            </w:r>
          </w:p>
        </w:tc>
      </w:tr>
      <w:tr w:rsidR="00BC5F9A" w:rsidRPr="00CA6A54" w:rsidTr="00887D51">
        <w:trPr>
          <w:tblCellSpacing w:w="7" w:type="dxa"/>
        </w:trPr>
        <w:tc>
          <w:tcPr>
            <w:tcW w:w="2100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</w:t>
            </w:r>
          </w:p>
        </w:tc>
        <w:tc>
          <w:tcPr>
            <w:tcW w:w="6015" w:type="dxa"/>
            <w:shd w:val="clear" w:color="auto" w:fill="FFFFFF"/>
            <w:hideMark/>
          </w:tcPr>
          <w:p w:rsidR="00BC5F9A" w:rsidRPr="00CA6A54" w:rsidRDefault="00BC5F9A" w:rsidP="00887D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6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4,49 кг</w:t>
            </w:r>
          </w:p>
        </w:tc>
      </w:tr>
    </w:tbl>
    <w:p w:rsidR="00BC5F9A" w:rsidRDefault="00BC5F9A" w:rsidP="00C374F4"/>
    <w:sectPr w:rsidR="00BC5F9A" w:rsidSect="00BC5F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F9A"/>
    <w:rsid w:val="00012913"/>
    <w:rsid w:val="000F3C0F"/>
    <w:rsid w:val="001D045E"/>
    <w:rsid w:val="003F1BD8"/>
    <w:rsid w:val="00636BA3"/>
    <w:rsid w:val="0065348A"/>
    <w:rsid w:val="00690BE4"/>
    <w:rsid w:val="00B55CCA"/>
    <w:rsid w:val="00BC5F9A"/>
    <w:rsid w:val="00C374F4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F9A"/>
  </w:style>
  <w:style w:type="paragraph" w:styleId="1">
    <w:name w:val="heading 1"/>
    <w:basedOn w:val="a"/>
    <w:link w:val="10"/>
    <w:uiPriority w:val="9"/>
    <w:qFormat/>
    <w:rsid w:val="00BC5F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5F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2012-06-25T08:01:00Z</dcterms:created>
  <dcterms:modified xsi:type="dcterms:W3CDTF">2012-06-25T09:11:00Z</dcterms:modified>
</cp:coreProperties>
</file>