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  <w:r w:rsidRPr="00AC0BCE">
        <w:t xml:space="preserve">Открытый запрос цен в электронной форме на право заключения договора на </w:t>
      </w:r>
      <w:r w:rsidR="00FB7BB3" w:rsidRPr="00FB7BB3">
        <w:rPr>
          <w:bCs/>
        </w:rPr>
        <w:t xml:space="preserve">оценку </w:t>
      </w:r>
      <w:r w:rsidR="00072B6E">
        <w:t>рыночной стоимости лома смешанного металла</w:t>
      </w:r>
      <w:r w:rsidR="00072B6E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072B6E">
        <w:t>4</w:t>
      </w:r>
      <w:r w:rsidR="00C257F9">
        <w:t xml:space="preserve"> </w:t>
      </w:r>
      <w:r w:rsidR="000A3B14" w:rsidRPr="00E074ED">
        <w:t>год</w:t>
      </w:r>
    </w:p>
    <w:p w:rsidR="000F4DA5" w:rsidRPr="000F4DA5" w:rsidRDefault="00680B64" w:rsidP="00072B6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center"/>
      </w:pPr>
      <w:r w:rsidRPr="00130044">
        <w:rPr>
          <w:sz w:val="18"/>
          <w:szCs w:val="18"/>
        </w:rPr>
        <w:br w:type="page"/>
      </w:r>
    </w:p>
    <w:p w:rsid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</w:p>
    <w:p w:rsidR="00072B6E" w:rsidRP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  <w:r w:rsidRPr="00072B6E">
        <w:rPr>
          <w:rFonts w:ascii="Times New Roman" w:hAnsi="Times New Roman" w:cs="Times New Roman"/>
          <w:sz w:val="22"/>
          <w:szCs w:val="22"/>
        </w:rPr>
        <w:t>ЗАДАНИЕ НА ОЦЕНКУ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color w:val="000000"/>
          <w:sz w:val="22"/>
          <w:szCs w:val="22"/>
        </w:rPr>
      </w:pPr>
      <w:r w:rsidRPr="00072B6E">
        <w:rPr>
          <w:b/>
          <w:color w:val="000000"/>
          <w:sz w:val="22"/>
          <w:szCs w:val="22"/>
        </w:rPr>
        <w:t>Цели и задачи проведения оценки объекта оценки</w:t>
      </w:r>
      <w:r w:rsidRPr="00072B6E">
        <w:rPr>
          <w:color w:val="000000"/>
          <w:sz w:val="22"/>
          <w:szCs w:val="22"/>
        </w:rPr>
        <w:t>: Определение рыночной стоимости</w:t>
      </w:r>
      <w:r w:rsidRPr="00072B6E">
        <w:rPr>
          <w:sz w:val="22"/>
          <w:szCs w:val="22"/>
        </w:rPr>
        <w:t xml:space="preserve"> лома смешанного  металла, образовавшегося в результате утилизация ПКЗ-101 в центре по обращению с РАО отделения губа Андреева.</w:t>
      </w:r>
    </w:p>
    <w:p w:rsidR="00072B6E" w:rsidRPr="00072B6E" w:rsidRDefault="00072B6E" w:rsidP="00072B6E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072B6E">
        <w:rPr>
          <w:b/>
          <w:color w:val="000000"/>
          <w:sz w:val="22"/>
          <w:szCs w:val="22"/>
        </w:rPr>
        <w:t>Указание на объект оценки и его описание, вид объекта оценки:</w:t>
      </w:r>
      <w:r w:rsidRPr="00072B6E">
        <w:rPr>
          <w:sz w:val="22"/>
          <w:szCs w:val="22"/>
        </w:rPr>
        <w:t xml:space="preserve"> Определение рыночной стоимости смешанного  лома, образовавшегося в результате  утилизация ПКЗ-101 в центре по обращению с РАО отделения губа Андреева.</w:t>
      </w:r>
    </w:p>
    <w:p w:rsidR="00072B6E" w:rsidRPr="00072B6E" w:rsidRDefault="00072B6E" w:rsidP="00072B6E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0" w:firstLine="0"/>
        <w:rPr>
          <w:sz w:val="22"/>
          <w:szCs w:val="22"/>
        </w:rPr>
      </w:pPr>
      <w:r w:rsidRPr="00072B6E">
        <w:rPr>
          <w:b/>
          <w:color w:val="000000"/>
          <w:sz w:val="22"/>
          <w:szCs w:val="22"/>
        </w:rPr>
        <w:t>Номенклатура продуктов утилизации</w:t>
      </w:r>
      <w:r w:rsidRPr="00072B6E">
        <w:rPr>
          <w:sz w:val="22"/>
          <w:szCs w:val="22"/>
        </w:rPr>
        <w:t xml:space="preserve"> смешанный </w:t>
      </w:r>
      <w:proofErr w:type="gramStart"/>
      <w:r w:rsidRPr="00072B6E">
        <w:rPr>
          <w:sz w:val="22"/>
          <w:szCs w:val="22"/>
        </w:rPr>
        <w:t>лом</w:t>
      </w:r>
      <w:proofErr w:type="gramEnd"/>
      <w:r w:rsidRPr="00072B6E">
        <w:rPr>
          <w:sz w:val="22"/>
          <w:szCs w:val="22"/>
        </w:rPr>
        <w:t xml:space="preserve">  полученный  в результате утилизации ПКЗ-101 в центре по обращению с РАО отделения губа Андреева.</w:t>
      </w:r>
    </w:p>
    <w:p w:rsidR="00072B6E" w:rsidRPr="00072B6E" w:rsidRDefault="00072B6E" w:rsidP="00072B6E">
      <w:pPr>
        <w:rPr>
          <w:sz w:val="22"/>
          <w:szCs w:val="22"/>
        </w:rPr>
      </w:pPr>
    </w:p>
    <w:tbl>
      <w:tblPr>
        <w:tblW w:w="8505" w:type="dxa"/>
        <w:tblInd w:w="250" w:type="dxa"/>
        <w:tblLook w:val="0000" w:firstRow="0" w:lastRow="0" w:firstColumn="0" w:lastColumn="0" w:noHBand="0" w:noVBand="0"/>
      </w:tblPr>
      <w:tblGrid>
        <w:gridCol w:w="855"/>
        <w:gridCol w:w="2690"/>
        <w:gridCol w:w="2978"/>
        <w:gridCol w:w="1982"/>
      </w:tblGrid>
      <w:tr w:rsidR="00072B6E" w:rsidRPr="00072B6E" w:rsidTr="00277582">
        <w:trPr>
          <w:cantSplit/>
          <w:trHeight w:val="34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B6E" w:rsidRPr="00072B6E" w:rsidRDefault="00072B6E" w:rsidP="00072B6E">
            <w:pPr>
              <w:jc w:val="center"/>
              <w:rPr>
                <w:sz w:val="22"/>
                <w:szCs w:val="22"/>
              </w:rPr>
            </w:pPr>
            <w:r w:rsidRPr="00072B6E">
              <w:rPr>
                <w:sz w:val="22"/>
                <w:szCs w:val="22"/>
              </w:rPr>
              <w:t xml:space="preserve">№ </w:t>
            </w:r>
            <w:proofErr w:type="gramStart"/>
            <w:r w:rsidRPr="00072B6E">
              <w:rPr>
                <w:sz w:val="22"/>
                <w:szCs w:val="22"/>
              </w:rPr>
              <w:t>п</w:t>
            </w:r>
            <w:proofErr w:type="gramEnd"/>
            <w:r w:rsidRPr="00072B6E">
              <w:rPr>
                <w:sz w:val="22"/>
                <w:szCs w:val="22"/>
              </w:rPr>
              <w:t>/п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B6E" w:rsidRPr="00072B6E" w:rsidRDefault="00072B6E" w:rsidP="00072B6E">
            <w:pPr>
              <w:jc w:val="center"/>
              <w:rPr>
                <w:sz w:val="22"/>
                <w:szCs w:val="22"/>
              </w:rPr>
            </w:pPr>
            <w:r w:rsidRPr="00072B6E">
              <w:rPr>
                <w:sz w:val="22"/>
                <w:szCs w:val="22"/>
              </w:rPr>
              <w:t>Марка металла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2B6E" w:rsidRPr="00072B6E" w:rsidRDefault="00072B6E" w:rsidP="00072B6E">
            <w:pPr>
              <w:jc w:val="center"/>
              <w:rPr>
                <w:sz w:val="22"/>
                <w:szCs w:val="22"/>
              </w:rPr>
            </w:pPr>
            <w:r w:rsidRPr="00072B6E">
              <w:rPr>
                <w:sz w:val="22"/>
                <w:szCs w:val="22"/>
              </w:rPr>
              <w:t>Техническая характеристика металла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B6E" w:rsidRPr="00072B6E" w:rsidRDefault="00072B6E" w:rsidP="00072B6E">
            <w:pPr>
              <w:jc w:val="center"/>
              <w:rPr>
                <w:sz w:val="22"/>
                <w:szCs w:val="22"/>
              </w:rPr>
            </w:pPr>
            <w:r w:rsidRPr="00072B6E">
              <w:rPr>
                <w:sz w:val="22"/>
                <w:szCs w:val="22"/>
              </w:rPr>
              <w:t>Объем, тонн</w:t>
            </w:r>
          </w:p>
        </w:tc>
      </w:tr>
      <w:tr w:rsidR="00072B6E" w:rsidRPr="00072B6E" w:rsidTr="00277582">
        <w:trPr>
          <w:trHeight w:val="25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B6E" w:rsidRPr="00072B6E" w:rsidRDefault="00072B6E" w:rsidP="00072B6E">
            <w:pPr>
              <w:jc w:val="center"/>
              <w:rPr>
                <w:sz w:val="22"/>
                <w:szCs w:val="22"/>
              </w:rPr>
            </w:pPr>
            <w:r w:rsidRPr="00072B6E">
              <w:rPr>
                <w:sz w:val="22"/>
                <w:szCs w:val="22"/>
              </w:rPr>
              <w:t>1.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2B6E" w:rsidRPr="00072B6E" w:rsidRDefault="00072B6E" w:rsidP="00072B6E">
            <w:pPr>
              <w:rPr>
                <w:sz w:val="22"/>
                <w:szCs w:val="22"/>
              </w:rPr>
            </w:pPr>
            <w:r w:rsidRPr="00072B6E">
              <w:rPr>
                <w:sz w:val="22"/>
                <w:szCs w:val="22"/>
              </w:rPr>
              <w:t>Смешанный лом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2B6E" w:rsidRPr="00072B6E" w:rsidRDefault="00072B6E" w:rsidP="00072B6E">
            <w:pPr>
              <w:rPr>
                <w:sz w:val="22"/>
                <w:szCs w:val="22"/>
              </w:rPr>
            </w:pPr>
            <w:r w:rsidRPr="00072B6E">
              <w:rPr>
                <w:sz w:val="22"/>
                <w:szCs w:val="22"/>
              </w:rPr>
              <w:t xml:space="preserve">                         5-А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2B6E" w:rsidRPr="00072B6E" w:rsidRDefault="00072B6E" w:rsidP="00072B6E">
            <w:pPr>
              <w:jc w:val="right"/>
              <w:rPr>
                <w:iCs/>
                <w:sz w:val="22"/>
                <w:szCs w:val="22"/>
              </w:rPr>
            </w:pPr>
            <w:r w:rsidRPr="00072B6E">
              <w:rPr>
                <w:iCs/>
                <w:sz w:val="22"/>
                <w:szCs w:val="22"/>
              </w:rPr>
              <w:t>1835</w:t>
            </w:r>
          </w:p>
        </w:tc>
      </w:tr>
      <w:tr w:rsidR="00072B6E" w:rsidRPr="00072B6E" w:rsidTr="00277582">
        <w:trPr>
          <w:trHeight w:val="255"/>
        </w:trPr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B6E" w:rsidRPr="00072B6E" w:rsidRDefault="00072B6E" w:rsidP="00072B6E">
            <w:pPr>
              <w:jc w:val="right"/>
              <w:rPr>
                <w:b/>
                <w:sz w:val="22"/>
                <w:szCs w:val="22"/>
              </w:rPr>
            </w:pPr>
            <w:r w:rsidRPr="00072B6E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2B6E" w:rsidRPr="00072B6E" w:rsidRDefault="00072B6E" w:rsidP="00072B6E">
            <w:pPr>
              <w:jc w:val="right"/>
              <w:rPr>
                <w:b/>
                <w:sz w:val="22"/>
                <w:szCs w:val="22"/>
              </w:rPr>
            </w:pPr>
            <w:r w:rsidRPr="00072B6E">
              <w:rPr>
                <w:b/>
                <w:sz w:val="22"/>
                <w:szCs w:val="22"/>
              </w:rPr>
              <w:t>1835</w:t>
            </w:r>
          </w:p>
        </w:tc>
      </w:tr>
    </w:tbl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color w:val="000000"/>
          <w:sz w:val="22"/>
          <w:szCs w:val="22"/>
        </w:rPr>
      </w:pPr>
      <w:r w:rsidRPr="00072B6E">
        <w:rPr>
          <w:b/>
          <w:color w:val="000000"/>
          <w:sz w:val="22"/>
          <w:szCs w:val="22"/>
        </w:rPr>
        <w:t>Вид  стоимости объекта оценки</w:t>
      </w:r>
      <w:r w:rsidRPr="00072B6E">
        <w:rPr>
          <w:color w:val="000000"/>
          <w:sz w:val="22"/>
          <w:szCs w:val="22"/>
        </w:rPr>
        <w:t xml:space="preserve">: </w:t>
      </w:r>
      <w:proofErr w:type="gramStart"/>
      <w:r w:rsidRPr="00072B6E">
        <w:rPr>
          <w:color w:val="000000"/>
          <w:sz w:val="22"/>
          <w:szCs w:val="22"/>
        </w:rPr>
        <w:t>рыночная</w:t>
      </w:r>
      <w:proofErr w:type="gramEnd"/>
      <w:r w:rsidRPr="00072B6E">
        <w:rPr>
          <w:color w:val="000000"/>
          <w:sz w:val="22"/>
          <w:szCs w:val="22"/>
        </w:rPr>
        <w:t>.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color w:val="000000"/>
          <w:sz w:val="22"/>
          <w:szCs w:val="22"/>
        </w:rPr>
      </w:pPr>
      <w:r w:rsidRPr="00072B6E">
        <w:rPr>
          <w:b/>
          <w:color w:val="000000"/>
          <w:sz w:val="22"/>
          <w:szCs w:val="22"/>
        </w:rPr>
        <w:t>Имущественные права  на объект оценки</w:t>
      </w:r>
      <w:r w:rsidRPr="00072B6E">
        <w:rPr>
          <w:color w:val="000000"/>
          <w:sz w:val="22"/>
          <w:szCs w:val="22"/>
        </w:rPr>
        <w:t>: собственность РФ.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sz w:val="22"/>
          <w:szCs w:val="22"/>
        </w:rPr>
      </w:pPr>
      <w:r w:rsidRPr="00072B6E">
        <w:rPr>
          <w:b/>
          <w:sz w:val="22"/>
          <w:szCs w:val="22"/>
        </w:rPr>
        <w:t>Дата оценки</w:t>
      </w:r>
      <w:r w:rsidRPr="00072B6E">
        <w:rPr>
          <w:sz w:val="22"/>
          <w:szCs w:val="22"/>
        </w:rPr>
        <w:t>: до 10 марта 2014 года.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sz w:val="22"/>
          <w:szCs w:val="22"/>
        </w:rPr>
      </w:pPr>
      <w:r w:rsidRPr="00072B6E">
        <w:rPr>
          <w:b/>
          <w:sz w:val="22"/>
          <w:szCs w:val="22"/>
        </w:rPr>
        <w:t>Срок проведения оценки</w:t>
      </w:r>
      <w:r w:rsidRPr="00072B6E">
        <w:rPr>
          <w:sz w:val="22"/>
          <w:szCs w:val="22"/>
        </w:rPr>
        <w:t xml:space="preserve">:  семь  рабочих дня после подписания договора.   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color w:val="000000"/>
          <w:sz w:val="22"/>
          <w:szCs w:val="22"/>
          <w:u w:val="single"/>
        </w:rPr>
      </w:pPr>
      <w:r w:rsidRPr="00072B6E">
        <w:rPr>
          <w:b/>
          <w:color w:val="000000"/>
          <w:sz w:val="22"/>
          <w:szCs w:val="22"/>
        </w:rPr>
        <w:t xml:space="preserve">Предполагаемое использование результатов оценки и связанные с этим ограничения: </w:t>
      </w:r>
      <w:r w:rsidRPr="00072B6E">
        <w:rPr>
          <w:color w:val="000000"/>
          <w:sz w:val="22"/>
          <w:szCs w:val="22"/>
        </w:rPr>
        <w:t>Продажа на аукционе лома смешанного металла.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color w:val="000000"/>
          <w:sz w:val="22"/>
          <w:szCs w:val="22"/>
        </w:rPr>
      </w:pPr>
      <w:r w:rsidRPr="00072B6E">
        <w:rPr>
          <w:b/>
          <w:color w:val="000000"/>
          <w:sz w:val="22"/>
          <w:szCs w:val="22"/>
        </w:rPr>
        <w:t>Денежная единица для измерения стоимости:</w:t>
      </w:r>
      <w:r w:rsidRPr="00072B6E">
        <w:rPr>
          <w:color w:val="000000"/>
          <w:sz w:val="22"/>
          <w:szCs w:val="22"/>
        </w:rPr>
        <w:t xml:space="preserve"> рубли.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color w:val="000000"/>
          <w:sz w:val="22"/>
          <w:szCs w:val="22"/>
        </w:rPr>
      </w:pPr>
      <w:r w:rsidRPr="00072B6E">
        <w:rPr>
          <w:b/>
          <w:sz w:val="22"/>
          <w:szCs w:val="22"/>
        </w:rPr>
        <w:t>Наименование и тип документа об оценке</w:t>
      </w:r>
      <w:r w:rsidRPr="00072B6E">
        <w:rPr>
          <w:sz w:val="22"/>
          <w:szCs w:val="22"/>
        </w:rPr>
        <w:t>: отчет об оценке – полный, в письменной форме.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color w:val="000000"/>
          <w:sz w:val="22"/>
          <w:szCs w:val="22"/>
        </w:rPr>
      </w:pPr>
      <w:r w:rsidRPr="00072B6E">
        <w:rPr>
          <w:b/>
          <w:sz w:val="22"/>
          <w:szCs w:val="22"/>
        </w:rPr>
        <w:t>Необходимость юридической экспертизы прав на объект оценки</w:t>
      </w:r>
      <w:r w:rsidRPr="00072B6E">
        <w:rPr>
          <w:sz w:val="22"/>
          <w:szCs w:val="22"/>
        </w:rPr>
        <w:t>: не требуется.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sz w:val="22"/>
          <w:szCs w:val="22"/>
        </w:rPr>
      </w:pPr>
      <w:r w:rsidRPr="00072B6E">
        <w:rPr>
          <w:b/>
          <w:sz w:val="22"/>
          <w:szCs w:val="22"/>
        </w:rPr>
        <w:t>Требования к оформлению документа об оценке</w:t>
      </w:r>
      <w:r w:rsidRPr="00072B6E">
        <w:rPr>
          <w:sz w:val="22"/>
          <w:szCs w:val="22"/>
        </w:rPr>
        <w:t xml:space="preserve">: в соответствии с Федеральным законом </w:t>
      </w:r>
      <w:r w:rsidRPr="00072B6E">
        <w:rPr>
          <w:spacing w:val="-6"/>
          <w:sz w:val="22"/>
          <w:szCs w:val="22"/>
        </w:rPr>
        <w:t xml:space="preserve">«Об оценочной деятельности в Российской Федерации» № 135-ФЗ от 29.07.1998 г., </w:t>
      </w:r>
      <w:r w:rsidRPr="00072B6E">
        <w:rPr>
          <w:sz w:val="22"/>
          <w:szCs w:val="22"/>
        </w:rPr>
        <w:t xml:space="preserve">Стандартами  оценки, обязательными к применению субъектами оценочной </w:t>
      </w:r>
      <w:r w:rsidRPr="00072B6E">
        <w:rPr>
          <w:spacing w:val="-10"/>
          <w:sz w:val="22"/>
          <w:szCs w:val="22"/>
        </w:rPr>
        <w:t>деятельности (Федеральные стандарты оценки, Стандарты Саморегулируемой организации оценщиков),</w:t>
      </w:r>
      <w:r w:rsidRPr="00072B6E">
        <w:rPr>
          <w:spacing w:val="-6"/>
          <w:sz w:val="22"/>
          <w:szCs w:val="22"/>
        </w:rPr>
        <w:t xml:space="preserve"> а также прочими действующими документами в области оценочной деятельности.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color w:val="000000"/>
          <w:sz w:val="22"/>
          <w:szCs w:val="22"/>
        </w:rPr>
      </w:pPr>
      <w:r w:rsidRPr="00072B6E">
        <w:rPr>
          <w:b/>
          <w:color w:val="000000"/>
          <w:sz w:val="22"/>
          <w:szCs w:val="22"/>
        </w:rPr>
        <w:t>Допущения и ограничения, на которых должна основываться оценка</w:t>
      </w:r>
      <w:r w:rsidRPr="00072B6E">
        <w:rPr>
          <w:color w:val="000000"/>
          <w:sz w:val="22"/>
          <w:szCs w:val="22"/>
        </w:rPr>
        <w:t xml:space="preserve">: </w:t>
      </w:r>
    </w:p>
    <w:p w:rsidR="00072B6E" w:rsidRPr="00072B6E" w:rsidRDefault="00072B6E" w:rsidP="00072B6E">
      <w:pPr>
        <w:jc w:val="both"/>
        <w:rPr>
          <w:sz w:val="22"/>
          <w:szCs w:val="22"/>
        </w:rPr>
      </w:pPr>
      <w:r w:rsidRPr="00072B6E">
        <w:rPr>
          <w:sz w:val="22"/>
          <w:szCs w:val="22"/>
        </w:rPr>
        <w:t>13.1 Отчет достоверен исключительно в полном объеме, отдельные части отчета не могут являться самостоятельными док</w:t>
      </w:r>
      <w:r w:rsidRPr="00072B6E">
        <w:rPr>
          <w:sz w:val="22"/>
          <w:szCs w:val="22"/>
        </w:rPr>
        <w:t>у</w:t>
      </w:r>
      <w:r w:rsidRPr="00072B6E">
        <w:rPr>
          <w:sz w:val="22"/>
          <w:szCs w:val="22"/>
        </w:rPr>
        <w:t>ментами.</w:t>
      </w:r>
    </w:p>
    <w:p w:rsidR="00072B6E" w:rsidRPr="00072B6E" w:rsidRDefault="00072B6E" w:rsidP="00072B6E">
      <w:pPr>
        <w:jc w:val="both"/>
        <w:rPr>
          <w:sz w:val="22"/>
          <w:szCs w:val="22"/>
        </w:rPr>
      </w:pPr>
      <w:proofErr w:type="gramStart"/>
      <w:r w:rsidRPr="00072B6E">
        <w:rPr>
          <w:sz w:val="22"/>
          <w:szCs w:val="22"/>
        </w:rPr>
        <w:t xml:space="preserve">13.2 Итоговая величина стоимости объектов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072B6E">
          <w:rPr>
            <w:rStyle w:val="ac"/>
            <w:sz w:val="22"/>
            <w:szCs w:val="22"/>
          </w:rPr>
          <w:t>законом</w:t>
        </w:r>
      </w:hyperlink>
      <w:r w:rsidRPr="00072B6E">
        <w:rPr>
          <w:sz w:val="22"/>
          <w:szCs w:val="22"/>
        </w:rPr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 совершения сделки с объектами оценки, если с даты</w:t>
      </w:r>
      <w:proofErr w:type="gramEnd"/>
      <w:r w:rsidRPr="00072B6E">
        <w:rPr>
          <w:sz w:val="22"/>
          <w:szCs w:val="22"/>
        </w:rPr>
        <w:t xml:space="preserve"> составления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072B6E" w:rsidRPr="00072B6E" w:rsidRDefault="00072B6E" w:rsidP="00072B6E">
      <w:pPr>
        <w:jc w:val="both"/>
        <w:rPr>
          <w:sz w:val="22"/>
          <w:szCs w:val="22"/>
        </w:rPr>
      </w:pPr>
      <w:r w:rsidRPr="00072B6E">
        <w:rPr>
          <w:sz w:val="22"/>
          <w:szCs w:val="22"/>
        </w:rPr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072B6E" w:rsidRPr="00072B6E" w:rsidRDefault="00072B6E" w:rsidP="00072B6E">
      <w:pPr>
        <w:jc w:val="both"/>
        <w:rPr>
          <w:sz w:val="22"/>
          <w:szCs w:val="22"/>
        </w:rPr>
      </w:pPr>
      <w:r w:rsidRPr="00072B6E">
        <w:rPr>
          <w:sz w:val="22"/>
          <w:szCs w:val="22"/>
        </w:rPr>
        <w:t>13.4 Отчет об оценке содержит  профессиональное мнение Оценщика относительно рыночной</w:t>
      </w:r>
      <w:r w:rsidRPr="00072B6E">
        <w:rPr>
          <w:color w:val="000000"/>
          <w:sz w:val="22"/>
          <w:szCs w:val="22"/>
        </w:rPr>
        <w:t xml:space="preserve"> стоимости </w:t>
      </w:r>
      <w:r w:rsidRPr="00072B6E">
        <w:rPr>
          <w:sz w:val="22"/>
          <w:szCs w:val="22"/>
        </w:rPr>
        <w:t>и не являются гарантией того, что объекты будут проданы на свободном рынке по цене, равной стоимости объектов, которая указана в отчете.</w:t>
      </w:r>
    </w:p>
    <w:p w:rsidR="00072B6E" w:rsidRPr="00072B6E" w:rsidRDefault="00072B6E" w:rsidP="00072B6E">
      <w:pPr>
        <w:tabs>
          <w:tab w:val="left" w:pos="1418"/>
        </w:tabs>
        <w:jc w:val="both"/>
        <w:rPr>
          <w:sz w:val="22"/>
          <w:szCs w:val="22"/>
        </w:rPr>
      </w:pPr>
      <w:r w:rsidRPr="00072B6E">
        <w:rPr>
          <w:sz w:val="22"/>
          <w:szCs w:val="22"/>
        </w:rPr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072B6E" w:rsidRPr="00072B6E" w:rsidRDefault="00072B6E" w:rsidP="00072B6E">
      <w:pPr>
        <w:jc w:val="both"/>
        <w:rPr>
          <w:sz w:val="22"/>
          <w:szCs w:val="22"/>
        </w:rPr>
      </w:pPr>
      <w:r w:rsidRPr="00072B6E">
        <w:rPr>
          <w:sz w:val="22"/>
          <w:szCs w:val="22"/>
        </w:rPr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072B6E" w:rsidRPr="00072B6E" w:rsidRDefault="00072B6E" w:rsidP="00072B6E">
      <w:pPr>
        <w:jc w:val="both"/>
        <w:rPr>
          <w:sz w:val="22"/>
          <w:szCs w:val="22"/>
        </w:rPr>
      </w:pPr>
      <w:r w:rsidRPr="00072B6E">
        <w:rPr>
          <w:sz w:val="22"/>
          <w:szCs w:val="22"/>
        </w:rPr>
        <w:t>13.7</w:t>
      </w:r>
      <w:proofErr w:type="gramStart"/>
      <w:r w:rsidRPr="00072B6E">
        <w:rPr>
          <w:sz w:val="22"/>
          <w:szCs w:val="22"/>
        </w:rPr>
        <w:t xml:space="preserve"> П</w:t>
      </w:r>
      <w:proofErr w:type="gramEnd"/>
      <w:r w:rsidRPr="00072B6E">
        <w:rPr>
          <w:sz w:val="22"/>
          <w:szCs w:val="22"/>
        </w:rPr>
        <w:t>ри проведении анализа и расчетов Оценщик использует исходную информ</w:t>
      </w:r>
      <w:r w:rsidRPr="00072B6E">
        <w:rPr>
          <w:sz w:val="22"/>
          <w:szCs w:val="22"/>
        </w:rPr>
        <w:t>а</w:t>
      </w:r>
      <w:r w:rsidRPr="00072B6E">
        <w:rPr>
          <w:sz w:val="22"/>
          <w:szCs w:val="22"/>
        </w:rPr>
        <w:t>цию об объекте оценки, переданную Заказчиком. Оценщик не принимает на себя ответственность за достоверность переданной ему Заказчиком исходной информ</w:t>
      </w:r>
      <w:r w:rsidRPr="00072B6E">
        <w:rPr>
          <w:sz w:val="22"/>
          <w:szCs w:val="22"/>
        </w:rPr>
        <w:t>а</w:t>
      </w:r>
      <w:r w:rsidRPr="00072B6E">
        <w:rPr>
          <w:sz w:val="22"/>
          <w:szCs w:val="22"/>
        </w:rPr>
        <w:t xml:space="preserve">ции. </w:t>
      </w:r>
    </w:p>
    <w:p w:rsidR="00072B6E" w:rsidRPr="00072B6E" w:rsidRDefault="00072B6E" w:rsidP="00072B6E">
      <w:pPr>
        <w:jc w:val="both"/>
        <w:rPr>
          <w:sz w:val="22"/>
          <w:szCs w:val="22"/>
        </w:rPr>
      </w:pPr>
      <w:r w:rsidRPr="00072B6E">
        <w:rPr>
          <w:sz w:val="22"/>
          <w:szCs w:val="22"/>
        </w:rPr>
        <w:t>13.8 Информация, показатели, характеристики и т.д., использованные Оценщиком и с</w:t>
      </w:r>
      <w:r w:rsidRPr="00072B6E">
        <w:rPr>
          <w:sz w:val="22"/>
          <w:szCs w:val="22"/>
        </w:rPr>
        <w:t>о</w:t>
      </w:r>
      <w:r w:rsidRPr="00072B6E">
        <w:rPr>
          <w:sz w:val="22"/>
          <w:szCs w:val="22"/>
        </w:rPr>
        <w:t xml:space="preserve">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</w:t>
      </w:r>
      <w:r w:rsidRPr="00072B6E">
        <w:rPr>
          <w:sz w:val="22"/>
          <w:szCs w:val="22"/>
        </w:rPr>
        <w:lastRenderedPageBreak/>
        <w:t>достоверности. Все использ</w:t>
      </w:r>
      <w:r w:rsidRPr="00072B6E">
        <w:rPr>
          <w:sz w:val="22"/>
          <w:szCs w:val="22"/>
        </w:rPr>
        <w:t>о</w:t>
      </w:r>
      <w:r w:rsidRPr="00072B6E">
        <w:rPr>
          <w:sz w:val="22"/>
          <w:szCs w:val="22"/>
        </w:rPr>
        <w:t>ванные Оценщиком в отчете данные, снабженные ссылками на источники информации, не могут рассматриваться как его собственные утвержд</w:t>
      </w:r>
      <w:r w:rsidRPr="00072B6E">
        <w:rPr>
          <w:sz w:val="22"/>
          <w:szCs w:val="22"/>
        </w:rPr>
        <w:t>е</w:t>
      </w:r>
      <w:r w:rsidRPr="00072B6E">
        <w:rPr>
          <w:sz w:val="22"/>
          <w:szCs w:val="22"/>
        </w:rPr>
        <w:t xml:space="preserve">ния. </w:t>
      </w:r>
    </w:p>
    <w:p w:rsidR="00072B6E" w:rsidRPr="00072B6E" w:rsidRDefault="00072B6E" w:rsidP="00072B6E">
      <w:pPr>
        <w:jc w:val="both"/>
        <w:rPr>
          <w:sz w:val="22"/>
          <w:szCs w:val="22"/>
        </w:rPr>
      </w:pPr>
      <w:r w:rsidRPr="00072B6E">
        <w:rPr>
          <w:sz w:val="22"/>
          <w:szCs w:val="22"/>
        </w:rPr>
        <w:t>13.9 Оценщик не несет ответственности за юридическое описание прав на об</w:t>
      </w:r>
      <w:r w:rsidRPr="00072B6E">
        <w:rPr>
          <w:sz w:val="22"/>
          <w:szCs w:val="22"/>
        </w:rPr>
        <w:t>ъ</w:t>
      </w:r>
      <w:r w:rsidRPr="00072B6E">
        <w:rPr>
          <w:sz w:val="22"/>
          <w:szCs w:val="22"/>
        </w:rPr>
        <w:t xml:space="preserve">ект оценки или за вопросы, связанные с рассмотрением данных прав.  </w:t>
      </w:r>
    </w:p>
    <w:p w:rsidR="00072B6E" w:rsidRPr="00072B6E" w:rsidRDefault="00072B6E" w:rsidP="00072B6E">
      <w:pPr>
        <w:jc w:val="both"/>
        <w:rPr>
          <w:sz w:val="22"/>
          <w:szCs w:val="22"/>
        </w:rPr>
      </w:pPr>
      <w:r w:rsidRPr="00072B6E">
        <w:rPr>
          <w:sz w:val="22"/>
          <w:szCs w:val="22"/>
        </w:rPr>
        <w:t xml:space="preserve">13.10 Оценщик предполагает отсутствие каких-либо скрытых, то есть таких, </w:t>
      </w:r>
      <w:proofErr w:type="gramStart"/>
      <w:r w:rsidRPr="00072B6E">
        <w:rPr>
          <w:sz w:val="22"/>
          <w:szCs w:val="22"/>
        </w:rPr>
        <w:t>которые</w:t>
      </w:r>
      <w:proofErr w:type="gramEnd"/>
      <w:r w:rsidRPr="00072B6E">
        <w:rPr>
          <w:sz w:val="22"/>
          <w:szCs w:val="22"/>
        </w:rPr>
        <w:t xml:space="preserve"> невозможно обнаружить при визуальном освидетельствовании объекта, фактов, влияющих  на оценку. Оце</w:t>
      </w:r>
      <w:r w:rsidRPr="00072B6E">
        <w:rPr>
          <w:sz w:val="22"/>
          <w:szCs w:val="22"/>
        </w:rPr>
        <w:t>н</w:t>
      </w:r>
      <w:r w:rsidRPr="00072B6E">
        <w:rPr>
          <w:sz w:val="22"/>
          <w:szCs w:val="22"/>
        </w:rPr>
        <w:t>щик не несет ответственности ни за наличие таких скрытых фактов, ни за необходимость выявления так</w:t>
      </w:r>
      <w:r w:rsidRPr="00072B6E">
        <w:rPr>
          <w:sz w:val="22"/>
          <w:szCs w:val="22"/>
        </w:rPr>
        <w:t>о</w:t>
      </w:r>
      <w:r w:rsidRPr="00072B6E">
        <w:rPr>
          <w:sz w:val="22"/>
          <w:szCs w:val="22"/>
        </w:rPr>
        <w:t>вых.</w:t>
      </w:r>
    </w:p>
    <w:p w:rsidR="00072B6E" w:rsidRPr="00072B6E" w:rsidRDefault="00072B6E" w:rsidP="00072B6E">
      <w:pPr>
        <w:jc w:val="both"/>
        <w:rPr>
          <w:color w:val="000000"/>
          <w:sz w:val="22"/>
          <w:szCs w:val="22"/>
        </w:rPr>
      </w:pPr>
      <w:r w:rsidRPr="00072B6E">
        <w:rPr>
          <w:sz w:val="22"/>
          <w:szCs w:val="22"/>
        </w:rPr>
        <w:t>13.11</w:t>
      </w:r>
      <w:proofErr w:type="gramStart"/>
      <w:r w:rsidRPr="00072B6E">
        <w:rPr>
          <w:sz w:val="22"/>
          <w:szCs w:val="22"/>
        </w:rPr>
        <w:t xml:space="preserve"> О</w:t>
      </w:r>
      <w:proofErr w:type="gramEnd"/>
      <w:r w:rsidRPr="00072B6E">
        <w:rPr>
          <w:sz w:val="22"/>
          <w:szCs w:val="22"/>
        </w:rPr>
        <w:t>т Оценщика не требуется давать показания или появляться в суде или других упо</w:t>
      </w:r>
      <w:r w:rsidRPr="00072B6E">
        <w:rPr>
          <w:sz w:val="22"/>
          <w:szCs w:val="22"/>
        </w:rPr>
        <w:t>л</w:t>
      </w:r>
      <w:r w:rsidRPr="00072B6E">
        <w:rPr>
          <w:sz w:val="22"/>
          <w:szCs w:val="22"/>
        </w:rPr>
        <w:t>номоченных органах, вследствие проведения оценки объектов оценки, иначе как по официальному вызову суда или других уполномоче</w:t>
      </w:r>
      <w:r w:rsidRPr="00072B6E">
        <w:rPr>
          <w:sz w:val="22"/>
          <w:szCs w:val="22"/>
        </w:rPr>
        <w:t>н</w:t>
      </w:r>
      <w:r w:rsidRPr="00072B6E">
        <w:rPr>
          <w:sz w:val="22"/>
          <w:szCs w:val="22"/>
        </w:rPr>
        <w:t>ных органов.</w:t>
      </w:r>
    </w:p>
    <w:p w:rsidR="00072B6E" w:rsidRPr="00072B6E" w:rsidRDefault="00072B6E" w:rsidP="00072B6E">
      <w:pPr>
        <w:jc w:val="both"/>
        <w:rPr>
          <w:color w:val="000000"/>
          <w:sz w:val="22"/>
          <w:szCs w:val="22"/>
        </w:rPr>
      </w:pPr>
      <w:r w:rsidRPr="00072B6E">
        <w:rPr>
          <w:color w:val="000000"/>
          <w:sz w:val="22"/>
          <w:szCs w:val="22"/>
        </w:rPr>
        <w:t>13.12</w:t>
      </w:r>
      <w:proofErr w:type="gramStart"/>
      <w:r w:rsidRPr="00072B6E">
        <w:rPr>
          <w:color w:val="000000"/>
          <w:sz w:val="22"/>
          <w:szCs w:val="22"/>
        </w:rPr>
        <w:t xml:space="preserve"> Е</w:t>
      </w:r>
      <w:proofErr w:type="gramEnd"/>
      <w:r w:rsidRPr="00072B6E">
        <w:rPr>
          <w:color w:val="000000"/>
          <w:sz w:val="22"/>
          <w:szCs w:val="22"/>
        </w:rPr>
        <w:t>сли в соответствии с законодательством Российской Федерации проведение оценки является 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072B6E" w:rsidRPr="00072B6E" w:rsidRDefault="00072B6E" w:rsidP="00072B6E">
      <w:pPr>
        <w:jc w:val="both"/>
        <w:rPr>
          <w:color w:val="000000"/>
          <w:sz w:val="22"/>
          <w:szCs w:val="22"/>
        </w:rPr>
      </w:pPr>
      <w:r w:rsidRPr="00072B6E">
        <w:rPr>
          <w:color w:val="000000"/>
          <w:sz w:val="22"/>
          <w:szCs w:val="22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072B6E" w:rsidRPr="00072B6E" w:rsidRDefault="00072B6E" w:rsidP="00072B6E">
      <w:pPr>
        <w:jc w:val="both"/>
        <w:rPr>
          <w:color w:val="000000"/>
          <w:sz w:val="22"/>
          <w:szCs w:val="22"/>
        </w:rPr>
      </w:pPr>
      <w:r w:rsidRPr="00072B6E">
        <w:rPr>
          <w:color w:val="000000"/>
          <w:sz w:val="22"/>
          <w:szCs w:val="22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072B6E" w:rsidRPr="00072B6E" w:rsidRDefault="00072B6E" w:rsidP="00072B6E">
      <w:pPr>
        <w:numPr>
          <w:ilvl w:val="0"/>
          <w:numId w:val="39"/>
        </w:numPr>
        <w:ind w:left="0" w:firstLine="0"/>
        <w:jc w:val="both"/>
        <w:rPr>
          <w:color w:val="000000"/>
          <w:spacing w:val="-6"/>
          <w:sz w:val="22"/>
          <w:szCs w:val="22"/>
        </w:rPr>
      </w:pPr>
      <w:r w:rsidRPr="00072B6E">
        <w:rPr>
          <w:b/>
          <w:sz w:val="22"/>
          <w:szCs w:val="22"/>
        </w:rPr>
        <w:t>Дополнительные требования и данные</w:t>
      </w:r>
      <w:r w:rsidRPr="00072B6E">
        <w:rPr>
          <w:sz w:val="22"/>
          <w:szCs w:val="22"/>
        </w:rPr>
        <w:t>:</w:t>
      </w:r>
    </w:p>
    <w:p w:rsidR="00072B6E" w:rsidRPr="00072B6E" w:rsidRDefault="00072B6E" w:rsidP="00072B6E">
      <w:pPr>
        <w:pStyle w:val="23"/>
        <w:tabs>
          <w:tab w:val="left" w:pos="1080"/>
        </w:tabs>
        <w:spacing w:line="240" w:lineRule="auto"/>
        <w:rPr>
          <w:sz w:val="22"/>
          <w:szCs w:val="22"/>
        </w:rPr>
      </w:pPr>
      <w:r w:rsidRPr="00072B6E">
        <w:rPr>
          <w:sz w:val="22"/>
          <w:szCs w:val="22"/>
        </w:rPr>
        <w:t xml:space="preserve">14.1. </w:t>
      </w:r>
      <w:r w:rsidRPr="00072B6E">
        <w:rPr>
          <w:sz w:val="22"/>
          <w:szCs w:val="22"/>
        </w:rPr>
        <w:tab/>
        <w:t>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072B6E" w:rsidRPr="00072B6E" w:rsidRDefault="00072B6E" w:rsidP="00072B6E">
      <w:pPr>
        <w:pStyle w:val="23"/>
        <w:tabs>
          <w:tab w:val="left" w:pos="1080"/>
        </w:tabs>
        <w:spacing w:line="240" w:lineRule="auto"/>
        <w:rPr>
          <w:sz w:val="22"/>
          <w:szCs w:val="22"/>
        </w:rPr>
      </w:pPr>
      <w:r w:rsidRPr="00072B6E">
        <w:rPr>
          <w:sz w:val="22"/>
          <w:szCs w:val="22"/>
        </w:rPr>
        <w:t xml:space="preserve">14.2. </w:t>
      </w:r>
      <w:r w:rsidRPr="00072B6E">
        <w:rPr>
          <w:sz w:val="22"/>
          <w:szCs w:val="22"/>
        </w:rPr>
        <w:tab/>
        <w:t>Величина определяемой стоимости не может служить основанием для отказа от оплаты работ.</w:t>
      </w:r>
    </w:p>
    <w:p w:rsidR="00072B6E" w:rsidRPr="00072B6E" w:rsidRDefault="00072B6E" w:rsidP="00072B6E">
      <w:pPr>
        <w:pStyle w:val="23"/>
        <w:tabs>
          <w:tab w:val="left" w:pos="1080"/>
        </w:tabs>
        <w:spacing w:line="240" w:lineRule="auto"/>
        <w:rPr>
          <w:sz w:val="22"/>
          <w:szCs w:val="22"/>
        </w:rPr>
      </w:pPr>
      <w:r w:rsidRPr="00072B6E">
        <w:rPr>
          <w:sz w:val="22"/>
          <w:szCs w:val="22"/>
        </w:rPr>
        <w:t xml:space="preserve">14.3     Данные о марках </w:t>
      </w:r>
      <w:proofErr w:type="gramStart"/>
      <w:r w:rsidRPr="00072B6E">
        <w:rPr>
          <w:sz w:val="22"/>
          <w:szCs w:val="22"/>
        </w:rPr>
        <w:t>материала-неточны</w:t>
      </w:r>
      <w:proofErr w:type="gramEnd"/>
      <w:r w:rsidRPr="00072B6E">
        <w:rPr>
          <w:sz w:val="22"/>
          <w:szCs w:val="22"/>
        </w:rPr>
        <w:t xml:space="preserve">, так как отсутствует соответствующая документация. </w:t>
      </w:r>
    </w:p>
    <w:p w:rsidR="00072B6E" w:rsidRPr="00072B6E" w:rsidRDefault="00072B6E" w:rsidP="00072B6E">
      <w:pPr>
        <w:pStyle w:val="23"/>
        <w:tabs>
          <w:tab w:val="left" w:pos="1080"/>
        </w:tabs>
        <w:spacing w:line="240" w:lineRule="auto"/>
        <w:rPr>
          <w:sz w:val="22"/>
          <w:szCs w:val="22"/>
        </w:rPr>
      </w:pPr>
      <w:r w:rsidRPr="00072B6E">
        <w:rPr>
          <w:sz w:val="22"/>
          <w:szCs w:val="22"/>
        </w:rPr>
        <w:t xml:space="preserve">14.4   Объект оценки находится на технической территории ЗАТО </w:t>
      </w:r>
      <w:proofErr w:type="spellStart"/>
      <w:r w:rsidRPr="00072B6E">
        <w:rPr>
          <w:sz w:val="22"/>
          <w:szCs w:val="22"/>
        </w:rPr>
        <w:t>г</w:t>
      </w:r>
      <w:proofErr w:type="gramStart"/>
      <w:r w:rsidRPr="00072B6E">
        <w:rPr>
          <w:sz w:val="22"/>
          <w:szCs w:val="22"/>
        </w:rPr>
        <w:t>.З</w:t>
      </w:r>
      <w:proofErr w:type="gramEnd"/>
      <w:r w:rsidRPr="00072B6E">
        <w:rPr>
          <w:sz w:val="22"/>
          <w:szCs w:val="22"/>
        </w:rPr>
        <w:t>аозёрск</w:t>
      </w:r>
      <w:proofErr w:type="spellEnd"/>
      <w:r w:rsidRPr="00072B6E">
        <w:rPr>
          <w:sz w:val="22"/>
          <w:szCs w:val="22"/>
        </w:rPr>
        <w:t xml:space="preserve"> (отделение  губа Андреева СЗЦ «СевРАО»-филиал ФГУП «РосРАО»). На проезд оформляется пропуск.</w:t>
      </w:r>
    </w:p>
    <w:p w:rsidR="00072B6E" w:rsidRPr="00072B6E" w:rsidRDefault="00072B6E" w:rsidP="00072B6E">
      <w:pPr>
        <w:jc w:val="center"/>
        <w:rPr>
          <w:sz w:val="22"/>
          <w:szCs w:val="22"/>
        </w:rPr>
      </w:pPr>
    </w:p>
    <w:p w:rsidR="00072B6E" w:rsidRPr="00072B6E" w:rsidRDefault="00072B6E" w:rsidP="00072B6E">
      <w:pPr>
        <w:rPr>
          <w:sz w:val="22"/>
          <w:szCs w:val="22"/>
        </w:rPr>
      </w:pPr>
    </w:p>
    <w:p w:rsidR="00FB7BB3" w:rsidRPr="00E11E35" w:rsidRDefault="00FB7BB3" w:rsidP="00E11E35">
      <w:pPr>
        <w:pStyle w:val="20"/>
        <w:numPr>
          <w:ilvl w:val="0"/>
          <w:numId w:val="0"/>
        </w:numPr>
        <w:ind w:left="1134" w:hanging="1134"/>
        <w:rPr>
          <w:rFonts w:ascii="Times New Roman" w:hAnsi="Times New Roman" w:cs="Times New Roman"/>
          <w:b w:val="0"/>
          <w:bCs w:val="0"/>
          <w:i w:val="0"/>
          <w:iCs w:val="0"/>
          <w:szCs w:val="20"/>
        </w:rPr>
      </w:pPr>
    </w:p>
    <w:sectPr w:rsidR="00FB7BB3" w:rsidRPr="00E11E35" w:rsidSect="00B95E54">
      <w:footerReference w:type="even" r:id="rId14"/>
      <w:footerReference w:type="default" r:id="rId15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C7A" w:rsidRDefault="00973C7A">
      <w:r>
        <w:separator/>
      </w:r>
    </w:p>
  </w:endnote>
  <w:endnote w:type="continuationSeparator" w:id="0">
    <w:p w:rsidR="00973C7A" w:rsidRDefault="00973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72B6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C7A" w:rsidRDefault="00973C7A">
      <w:r>
        <w:separator/>
      </w:r>
    </w:p>
  </w:footnote>
  <w:footnote w:type="continuationSeparator" w:id="0">
    <w:p w:rsidR="00973C7A" w:rsidRDefault="00973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2"/>
  </w:num>
  <w:num w:numId="24">
    <w:abstractNumId w:val="9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6"/>
  </w:num>
  <w:num w:numId="38">
    <w:abstractNumId w:val="28"/>
  </w:num>
  <w:num w:numId="39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2B6E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DA5"/>
    <w:rsid w:val="000F62C4"/>
    <w:rsid w:val="000F6427"/>
    <w:rsid w:val="000F7579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3FEB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88D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5B6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940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C7A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56D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B3E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1E35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729D09-81FA-4579-B2D8-AF0F2CC759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939270-50C6-4A5C-928E-1CC677072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84</cp:revision>
  <cp:lastPrinted>2013-02-27T10:24:00Z</cp:lastPrinted>
  <dcterms:created xsi:type="dcterms:W3CDTF">2012-11-15T12:52:00Z</dcterms:created>
  <dcterms:modified xsi:type="dcterms:W3CDTF">2014-02-06T13:34:00Z</dcterms:modified>
</cp:coreProperties>
</file>