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630" w:rsidRPr="00DA1207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2A0630" w:rsidRPr="00A9570D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Техническое задание</w:t>
      </w:r>
    </w:p>
    <w:p w:rsidR="002A0630" w:rsidRPr="00924EAC" w:rsidRDefault="002A0630" w:rsidP="002A0630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0D29D7" w:rsidRDefault="002A0630" w:rsidP="002A0630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0D29D7">
        <w:rPr>
          <w:rFonts w:ascii="Times New Roman" w:hAnsi="Times New Roman"/>
          <w:szCs w:val="24"/>
          <w:lang w:eastAsia="ru-RU"/>
        </w:rPr>
        <w:t xml:space="preserve">Предмет закупки: поставка </w:t>
      </w:r>
      <w:proofErr w:type="gramStart"/>
      <w:r w:rsidRPr="000D29D7">
        <w:rPr>
          <w:rFonts w:ascii="Times New Roman" w:hAnsi="Times New Roman"/>
          <w:szCs w:val="24"/>
          <w:lang w:eastAsia="ru-RU"/>
        </w:rPr>
        <w:t>транспортного</w:t>
      </w:r>
      <w:proofErr w:type="gramEnd"/>
      <w:r w:rsidRPr="000D29D7">
        <w:rPr>
          <w:rFonts w:ascii="Times New Roman" w:hAnsi="Times New Roman"/>
          <w:szCs w:val="24"/>
          <w:lang w:eastAsia="ru-RU"/>
        </w:rPr>
        <w:t xml:space="preserve"> портального радиационного </w:t>
      </w:r>
    </w:p>
    <w:p w:rsidR="002A0630" w:rsidRPr="000D29D7" w:rsidRDefault="002A0630" w:rsidP="002A0630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0D29D7">
        <w:rPr>
          <w:rFonts w:ascii="Times New Roman" w:hAnsi="Times New Roman"/>
          <w:szCs w:val="24"/>
          <w:lang w:eastAsia="ru-RU"/>
        </w:rPr>
        <w:t>монитора КСАР1У.041 «Рубеж»</w:t>
      </w:r>
    </w:p>
    <w:p w:rsidR="002A0630" w:rsidRPr="00924EAC" w:rsidRDefault="002A0630" w:rsidP="002A0630">
      <w:pPr>
        <w:suppressAutoHyphens w:val="0"/>
        <w:ind w:firstLine="54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2A0630" w:rsidRPr="000D29D7" w:rsidRDefault="002A0630" w:rsidP="002A0630">
      <w:pPr>
        <w:suppressAutoHyphens w:val="0"/>
        <w:ind w:firstLine="540"/>
        <w:jc w:val="center"/>
        <w:rPr>
          <w:rFonts w:ascii="Times New Roman" w:hAnsi="Times New Roman"/>
          <w:szCs w:val="24"/>
          <w:u w:val="single"/>
          <w:lang w:eastAsia="ru-RU"/>
        </w:rPr>
      </w:pPr>
      <w:r w:rsidRPr="00924EAC">
        <w:rPr>
          <w:rFonts w:ascii="Times New Roman" w:hAnsi="Times New Roman"/>
          <w:szCs w:val="24"/>
          <w:u w:val="single"/>
          <w:lang w:eastAsia="ru-RU"/>
        </w:rPr>
        <w:t xml:space="preserve">          </w:t>
      </w:r>
    </w:p>
    <w:p w:rsidR="002A0630" w:rsidRPr="00DA1207" w:rsidRDefault="002A0630" w:rsidP="002A0630">
      <w:pPr>
        <w:suppressAutoHyphens w:val="0"/>
        <w:ind w:firstLine="540"/>
        <w:jc w:val="center"/>
        <w:rPr>
          <w:rFonts w:ascii="Times New Roman" w:hAnsi="Times New Roman"/>
          <w:szCs w:val="24"/>
          <w:u w:val="single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DA1207" w:rsidRDefault="002A0630" w:rsidP="002A0630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Обнинск</w:t>
      </w:r>
    </w:p>
    <w:p w:rsidR="002A0630" w:rsidRPr="00B8735A" w:rsidRDefault="002A0630" w:rsidP="002A0630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  <w:r w:rsidRPr="00DA1207">
        <w:rPr>
          <w:rFonts w:ascii="Times New Roman" w:hAnsi="Times New Roman"/>
          <w:szCs w:val="24"/>
          <w:lang w:eastAsia="ru-RU"/>
        </w:rPr>
        <w:t>201</w:t>
      </w:r>
      <w:r>
        <w:rPr>
          <w:rFonts w:ascii="Times New Roman" w:hAnsi="Times New Roman"/>
          <w:szCs w:val="24"/>
          <w:lang w:eastAsia="ru-RU"/>
        </w:rPr>
        <w:t>4</w:t>
      </w:r>
      <w:r w:rsidRPr="00DA1207">
        <w:rPr>
          <w:rFonts w:ascii="Times New Roman" w:hAnsi="Times New Roman"/>
          <w:szCs w:val="24"/>
          <w:lang w:eastAsia="ru-RU"/>
        </w:rPr>
        <w:t xml:space="preserve"> г.</w:t>
      </w:r>
      <w:r w:rsidRPr="00DA1207">
        <w:rPr>
          <w:rFonts w:ascii="Times New Roman" w:hAnsi="Times New Roman"/>
          <w:szCs w:val="24"/>
          <w:lang w:eastAsia="ru-RU"/>
        </w:rPr>
        <w:br w:type="page"/>
      </w:r>
      <w:r w:rsidRPr="00B8735A">
        <w:rPr>
          <w:rFonts w:ascii="Times New Roman" w:hAnsi="Times New Roman"/>
          <w:szCs w:val="24"/>
          <w:lang w:eastAsia="ru-RU"/>
        </w:rPr>
        <w:lastRenderedPageBreak/>
        <w:t>СОДЕРЖАНИЕ</w:t>
      </w:r>
    </w:p>
    <w:p w:rsidR="002A0630" w:rsidRPr="00B8735A" w:rsidRDefault="002A0630" w:rsidP="002A0630">
      <w:pPr>
        <w:suppressAutoHyphens w:val="0"/>
        <w:ind w:firstLine="540"/>
        <w:jc w:val="center"/>
        <w:rPr>
          <w:rFonts w:ascii="Times New Roman" w:hAnsi="Times New Roman"/>
          <w:szCs w:val="24"/>
          <w:lang w:eastAsia="ru-RU"/>
        </w:rPr>
      </w:pP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1. ОБЩИЕ СВЕДЕНИЯ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Подраздел 1.1 Наименование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Подраздел 1.2 Сведения о новизне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Подраздел 1.3 Код ОКП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2. ОБЛАСТЬ ПРИМЕНЕНИЯ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3. УСЛОВИЯ ЭКСПЛУАТАЦИИ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4. ТЕХНИЧЕСКИЕ ТРЕБОВАНИЯ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Подраздел 4.1. Основные параметры и размеры.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Подраздел 4.3. Требования по надежности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Подраздел 4.5. Требования к материалам и комплектующим оборудования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Подраздел 4.7. Требования к электропитанию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Подраздел 4.9. Требования к комплектности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Подраздел 4.10. Требования к маркировке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Подраздел 4.11. Требования к упаковке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5. ТРЕБОВАНИЯ ПО ПРАВИЛАМ СДАЧИ И ПРИЕМКИ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Подраздел 5.1 Порядок сдачи и приемки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6. ТРЕБОВАНИЯ К ТРАНСПОРТИРОВАНИЮ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7. ТРЕБОВАНИЯ К ХРАНЕНИЮ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8. ТРЕБОВАНИЯ К ОБЪЕМУ И/ИЛИ СРОКУ ПРЕДОСТАВЛЕНИЯ ГАРАНТИЙ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9. ТРЕБОВАНИЯ ПО РЕМОНТОПРИГОДНОСТИ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10. ТРЕБОВАНИЯ К ОБСЛУЖИВАНИЮ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11. ЭКОЛОГИЧЕСКИЕ ТРЕБОВАНИЯ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12. ТРЕБОВАНИЯ ПО БЕЗОПАСНОСТИ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13. ТРЕБОВАНИЯ К КАЧЕСТВУ И КЛАССИФИКАЦИЯ ОБОРУДОВАНИЯ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15. ДОПОЛНИТЕЛЬНЫЕ (ИНЫЕ) ТРЕБОВАНИЯ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16. ТРЕБОВАНИЯ К КОЛИЧЕСТВУ И СРОКУ (ПЕРИОДИЧНОСТИ) ПОСТАВКИ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17. ТРЕБОВАНИЕ К ФОРМЕ ПРЕДСТАВЛЯЕМОЙ ИНФОРМАЦИИ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18. ТРЕБОВАНИЯ К ТЕХНИЧЕСКОМУ ОБУЧЕНИЮ ПЕРСОНАЛА ЗАКАЗЧИКА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19. ПЕРЕЧЕНЬ ПРИНЯТЫХ СОКРАЩЕНИЙ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t>РАЗДЕЛ 20. ПЕРЕЧЕНЬ ПРИЛОЖЕНИЙ</w:t>
      </w:r>
    </w:p>
    <w:p w:rsidR="002A0630" w:rsidRPr="001D6FC2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2455CB">
        <w:rPr>
          <w:rFonts w:ascii="Times New Roman" w:hAnsi="Times New Roman"/>
          <w:szCs w:val="24"/>
          <w:lang w:eastAsia="ru-RU"/>
        </w:rPr>
        <w:br w:type="page"/>
      </w:r>
      <w:r w:rsidRPr="001D6FC2">
        <w:rPr>
          <w:rFonts w:ascii="Times New Roman" w:hAnsi="Times New Roman"/>
          <w:b/>
          <w:szCs w:val="24"/>
          <w:lang w:eastAsia="ru-RU"/>
        </w:rPr>
        <w:lastRenderedPageBreak/>
        <w:t>РАЗДЕЛ 1. ОБЩИЕ СВЕДЕНИЯ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Подраздел 1.1 Наименование</w:t>
            </w:r>
          </w:p>
        </w:tc>
      </w:tr>
      <w:tr w:rsidR="002A0630" w:rsidRPr="002455CB" w:rsidTr="00E7174F">
        <w:trPr>
          <w:trHeight w:val="20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Транспортный портальный радиационный монитор КСАР1У.041 «Рубеж» или эквивалент - 2 шт.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товара, указанным в Разделе 4.</w:t>
            </w:r>
          </w:p>
        </w:tc>
      </w:tr>
      <w:tr w:rsidR="002A0630" w:rsidRPr="002455CB" w:rsidTr="00E71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2A0630" w:rsidRPr="002455CB" w:rsidTr="00E7174F">
        <w:trPr>
          <w:trHeight w:val="24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Поставляемое оборудование должно быть новым, выпуска не ранее 2013 года, не являться выставочными образцами, свободным от прав третьих лиц. </w:t>
            </w:r>
          </w:p>
        </w:tc>
      </w:tr>
      <w:tr w:rsidR="002A0630" w:rsidRPr="002455CB" w:rsidTr="00E71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Подраздел 1.3 Код ОКП</w:t>
            </w:r>
          </w:p>
        </w:tc>
      </w:tr>
      <w:tr w:rsidR="002A0630" w:rsidRPr="002455CB" w:rsidTr="00E7174F">
        <w:trPr>
          <w:trHeight w:val="7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Код ОКДП 3319110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6FC2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6FC2">
        <w:rPr>
          <w:rFonts w:ascii="Times New Roman" w:hAnsi="Times New Roman"/>
          <w:b/>
          <w:szCs w:val="24"/>
          <w:lang w:eastAsia="ru-RU"/>
        </w:rPr>
        <w:t>РАЗДЕЛ 2. ОБЛАСТЬ ПРИМЕНЕНИЯ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Транспортный портальный радиационный монитор будет применяться для обнаружения перемещения источников ионизирующего излучения - ядерных материалов и радиоактивных веществ через контролируемое пространство, также применяться на контрольно-пропускных пунктах (КПП) различного назначения. 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Транспортный радиационный портальный монитор будет применяться для обнаружения источников гамм</w:t>
            </w:r>
            <w:proofErr w:type="gramStart"/>
            <w:r w:rsidRPr="002455CB">
              <w:rPr>
                <w:rFonts w:ascii="Times New Roman" w:hAnsi="Times New Roman"/>
                <w:szCs w:val="24"/>
                <w:lang w:eastAsia="ru-RU"/>
              </w:rPr>
              <w:t>а-</w:t>
            </w:r>
            <w:proofErr w:type="gramEnd"/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 или гамма-нейтронного излучения - ядерных материалов и радиоактивных веществ - при проезде транспортных средств через контролируемое пространство и выработки сигнала оповещения при обнаружении ядерных материалов или радиоактивных веществ.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54B4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54B4">
        <w:rPr>
          <w:rFonts w:ascii="Times New Roman" w:hAnsi="Times New Roman"/>
          <w:b/>
          <w:szCs w:val="24"/>
          <w:lang w:eastAsia="ru-RU"/>
        </w:rPr>
        <w:t>РАЗДЕЛ 3. УСЛОВИЯ ЭКСПЛУАТАЦИИ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81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54B4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54B4">
        <w:rPr>
          <w:rFonts w:ascii="Times New Roman" w:hAnsi="Times New Roman"/>
          <w:b/>
          <w:szCs w:val="24"/>
          <w:lang w:eastAsia="ru-RU"/>
        </w:rPr>
        <w:t>РАЗДЕЛ 4. ТЕХНИЧЕСКИЕ ТРЕБОВАНИЯ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2A0630" w:rsidRPr="002455CB" w:rsidTr="00E7174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В состав монитора должны входить блоки детектирования – детекторы гамма-излучения и нейтронов (для исполнений КСАР1У.041), размещенные в измерительных колоннах. Количество, тип и расположение блоков детектирования в измерительных колоннах должно определяться исполнением транспортного портального радиационного монитора.</w:t>
            </w:r>
          </w:p>
        </w:tc>
      </w:tr>
      <w:tr w:rsidR="002A0630" w:rsidRPr="002455CB" w:rsidTr="00E7174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A0630" w:rsidRPr="002455CB" w:rsidTr="00E7174F">
        <w:trPr>
          <w:trHeight w:val="27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Измерительные колонны транспортного портального радиационного монитора должны измерять среднюю скорость счета гамма-излучения. Диапазон измерения скорости счета каждой колонной от 10,0 с-1 до 50000 с-1.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Энергетический диапазон регистрации транспортного портального радиационного монитора рентгеновского и гамма-излучения должен составлять от 0,05 МэВ до 3,0 МэВ.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Пределы основной относительной погрешности измерения скорости счета по гамма-каналу </w:t>
            </w:r>
            <w:proofErr w:type="gramStart"/>
            <w:r w:rsidRPr="002455CB">
              <w:rPr>
                <w:rFonts w:ascii="Times New Roman" w:hAnsi="Times New Roman"/>
                <w:szCs w:val="24"/>
                <w:lang w:eastAsia="ru-RU"/>
              </w:rPr>
              <w:t>от</w:t>
            </w:r>
            <w:proofErr w:type="gramEnd"/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 минус 30% до плюс 30%.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2455CB">
              <w:rPr>
                <w:rFonts w:ascii="Times New Roman" w:hAnsi="Times New Roman"/>
                <w:szCs w:val="24"/>
                <w:lang w:eastAsia="ru-RU"/>
              </w:rPr>
              <w:t>Обнаружительные</w:t>
            </w:r>
            <w:proofErr w:type="spellEnd"/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 способности монитора должны соответствовать категории </w:t>
            </w:r>
            <w:proofErr w:type="spellStart"/>
            <w:r w:rsidRPr="002455CB">
              <w:rPr>
                <w:rFonts w:ascii="Times New Roman" w:hAnsi="Times New Roman"/>
                <w:szCs w:val="24"/>
                <w:lang w:eastAsia="ru-RU"/>
              </w:rPr>
              <w:t>IVTγ</w:t>
            </w:r>
            <w:proofErr w:type="spellEnd"/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 и </w:t>
            </w:r>
            <w:proofErr w:type="spellStart"/>
            <w:r w:rsidRPr="002455CB">
              <w:rPr>
                <w:rFonts w:ascii="Times New Roman" w:hAnsi="Times New Roman"/>
                <w:szCs w:val="24"/>
                <w:lang w:val="en-US" w:eastAsia="ru-RU"/>
              </w:rPr>
              <w:t>IIITn</w:t>
            </w:r>
            <w:proofErr w:type="spellEnd"/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 по ГОСТ 51635-2000.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Тип </w:t>
            </w:r>
            <w:proofErr w:type="gramStart"/>
            <w:r w:rsidRPr="002455CB">
              <w:rPr>
                <w:rFonts w:ascii="Times New Roman" w:hAnsi="Times New Roman"/>
                <w:szCs w:val="24"/>
                <w:lang w:eastAsia="ru-RU"/>
              </w:rPr>
              <w:t>гамма-детекторов</w:t>
            </w:r>
            <w:proofErr w:type="gramEnd"/>
            <w:r w:rsidRPr="002455CB">
              <w:rPr>
                <w:rFonts w:ascii="Times New Roman" w:hAnsi="Times New Roman"/>
                <w:szCs w:val="24"/>
                <w:lang w:eastAsia="ru-RU"/>
              </w:rPr>
              <w:t>: сцинтиллятор.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Тип сцинтиллятора: пластик.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Объем </w:t>
            </w:r>
            <w:proofErr w:type="gramStart"/>
            <w:r w:rsidRPr="002455CB">
              <w:rPr>
                <w:rFonts w:ascii="Times New Roman" w:hAnsi="Times New Roman"/>
                <w:szCs w:val="24"/>
                <w:lang w:eastAsia="ru-RU"/>
              </w:rPr>
              <w:t>гамма-детекторов</w:t>
            </w:r>
            <w:proofErr w:type="gramEnd"/>
            <w:r w:rsidRPr="002455CB">
              <w:rPr>
                <w:rFonts w:ascii="Times New Roman" w:hAnsi="Times New Roman"/>
                <w:szCs w:val="24"/>
                <w:lang w:eastAsia="ru-RU"/>
              </w:rPr>
              <w:t>: не менее 40000 см</w:t>
            </w:r>
            <w:r w:rsidRPr="002455CB">
              <w:rPr>
                <w:rFonts w:ascii="Times New Roman" w:hAnsi="Times New Roman"/>
                <w:szCs w:val="24"/>
                <w:vertAlign w:val="superscript"/>
                <w:lang w:eastAsia="ru-RU"/>
              </w:rPr>
              <w:t>3</w:t>
            </w:r>
            <w:r w:rsidRPr="002455CB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Должна быть предусмотрена компенсация влияния наличия большегрузного транспорта рядом или в контролируемом пространстве на количество ложных срабатываний и </w:t>
            </w:r>
            <w:proofErr w:type="spellStart"/>
            <w:r w:rsidRPr="002455CB">
              <w:rPr>
                <w:rFonts w:ascii="Times New Roman" w:hAnsi="Times New Roman"/>
                <w:szCs w:val="24"/>
                <w:lang w:eastAsia="ru-RU"/>
              </w:rPr>
              <w:t>обнаружительные</w:t>
            </w:r>
            <w:proofErr w:type="spellEnd"/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 способности монитора.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Измерительные колонны транспортного портального радиационного монитора (исполнения КСАР1У.041) должны измерять среднюю скорость счета нейтронов. Диапазон измерения скорости счета нейтронов каждой колонной от 0,1 с-1 до 1000 с-1.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Энергетический диапазон регистрации нейтронов – нейтроны спектра деления и источников на основе (α, n) реакции.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Пределы основной относительной погрешности скорости счета транспортного портального радиационного монитора по нейтронному каналу должны составлять </w:t>
            </w:r>
            <w:proofErr w:type="gramStart"/>
            <w:r w:rsidRPr="002455CB">
              <w:rPr>
                <w:rFonts w:ascii="Times New Roman" w:hAnsi="Times New Roman"/>
                <w:szCs w:val="24"/>
                <w:lang w:eastAsia="ru-RU"/>
              </w:rPr>
              <w:t>от</w:t>
            </w:r>
            <w:proofErr w:type="gramEnd"/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 минус 40% до плюс 40%.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Электропитание транспортного портального радиационного монитора должно осуществляться от сети переменного тока напряжением 220</w:t>
            </w:r>
            <w:proofErr w:type="gramStart"/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 В</w:t>
            </w:r>
            <w:proofErr w:type="gramEnd"/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 и частотой (50±5) Гц.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Потребляемая мощность - не более 100 Вт, с включенной системой </w:t>
            </w:r>
            <w:proofErr w:type="spellStart"/>
            <w:r w:rsidRPr="002455CB">
              <w:rPr>
                <w:rFonts w:ascii="Times New Roman" w:hAnsi="Times New Roman"/>
                <w:szCs w:val="24"/>
                <w:lang w:eastAsia="ru-RU"/>
              </w:rPr>
              <w:t>термостабилизации</w:t>
            </w:r>
            <w:proofErr w:type="spellEnd"/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 – не более 900 Вт.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Режим работы – непрерывный, автоматический.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Транспортный радиационный портальный монитор должен удовлетворять требованиям электромагнитной совместимости (помехоустойчивости и </w:t>
            </w:r>
            <w:proofErr w:type="spellStart"/>
            <w:r w:rsidRPr="002455CB">
              <w:rPr>
                <w:rFonts w:ascii="Times New Roman" w:hAnsi="Times New Roman"/>
                <w:szCs w:val="24"/>
                <w:lang w:eastAsia="ru-RU"/>
              </w:rPr>
              <w:t>помехоэмиссии</w:t>
            </w:r>
            <w:proofErr w:type="spellEnd"/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), предъявляемым к оборудованию класса А по ГОСТ </w:t>
            </w:r>
            <w:proofErr w:type="gramStart"/>
            <w:r w:rsidRPr="002455CB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 51522-99.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Монитор должен быть устойчив к воздействию постоянного магнитного поля напряженностью до 40</w:t>
            </w:r>
            <w:proofErr w:type="gramStart"/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 А</w:t>
            </w:r>
            <w:proofErr w:type="gramEnd"/>
            <w:r w:rsidRPr="002455CB">
              <w:rPr>
                <w:rFonts w:ascii="Times New Roman" w:hAnsi="Times New Roman"/>
                <w:szCs w:val="24"/>
                <w:lang w:eastAsia="ru-RU"/>
              </w:rPr>
              <w:t>/м.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Средняя наработка до отказа - не менее 10000 ч при рисках производителя и потребителя a = b = 0,20.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Среднее время восстановления - не более 12 ч.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Средний ресурс до первого капитального ремонта - не менее 10 000 часов.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Назначенный срок службы – 10 лет.</w:t>
            </w:r>
          </w:p>
        </w:tc>
      </w:tr>
      <w:tr w:rsidR="002A0630" w:rsidRPr="002455CB" w:rsidTr="00E7174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2A0630" w:rsidRPr="002455CB" w:rsidTr="00E7174F">
        <w:trPr>
          <w:trHeight w:val="21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  <w:tr w:rsidR="002A0630" w:rsidRPr="002455CB" w:rsidTr="00E7174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2A0630" w:rsidRPr="002455CB" w:rsidTr="00E7174F">
        <w:trPr>
          <w:trHeight w:val="1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Монтаж и пуско-наладочные работы проводятся Поставщиком на территории Покупателя в течение двух недель с момента поставки Товара, готовности монтажной площадки и вызова специалистов. Работы заканчиваются подписанием Акта сдачи-приемки оборудования. Поставщик обязан выполнять все предусмотренные настоящим Договором работы по монтажу, а также пуско-наладочные работы лично и не вправе привлекать для их выполнения третьих лиц.</w:t>
            </w:r>
          </w:p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Оборудование будет устанавливаться на АКПП-3, АКПП-2.</w:t>
            </w:r>
          </w:p>
        </w:tc>
      </w:tr>
      <w:tr w:rsidR="002A0630" w:rsidRPr="002455CB" w:rsidTr="00E7174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2A0630" w:rsidRPr="002455CB" w:rsidTr="00E7174F">
        <w:trPr>
          <w:trHeight w:val="12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  <w:tr w:rsidR="002A0630" w:rsidRPr="002455CB" w:rsidTr="00E7174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A0630" w:rsidRPr="002455CB" w:rsidTr="00E7174F">
        <w:trPr>
          <w:trHeight w:val="19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  <w:tr w:rsidR="002A0630" w:rsidRPr="002455CB" w:rsidTr="00E7174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2A0630" w:rsidRPr="002455CB" w:rsidTr="00E7174F">
        <w:trPr>
          <w:trHeight w:val="16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  <w:tr w:rsidR="002A0630" w:rsidRPr="002455CB" w:rsidTr="00E7174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2A0630" w:rsidRPr="002455CB" w:rsidTr="00E7174F">
        <w:trPr>
          <w:trHeight w:val="13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  <w:tr w:rsidR="002A0630" w:rsidRPr="002455CB" w:rsidTr="00E7174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2A0630" w:rsidRPr="002455CB" w:rsidTr="00E7174F">
        <w:trPr>
          <w:trHeight w:val="22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  <w:tr w:rsidR="002A0630" w:rsidRPr="002455CB" w:rsidTr="00E7174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2A0630" w:rsidRPr="002455CB" w:rsidTr="00E7174F">
        <w:trPr>
          <w:trHeight w:val="1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Маркировка должна соответствовать ГОСТ 16371-93, ГОСТ 50862-2005</w:t>
            </w:r>
          </w:p>
        </w:tc>
      </w:tr>
      <w:tr w:rsidR="002A0630" w:rsidRPr="002455CB" w:rsidTr="00E7174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lastRenderedPageBreak/>
              <w:t>Подраздел 4.11 Требования к упаковке</w:t>
            </w:r>
          </w:p>
        </w:tc>
      </w:tr>
      <w:tr w:rsidR="002A0630" w:rsidRPr="002455CB" w:rsidTr="00E7174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Товар должен находиться в упаковке. Упаковка должна исключать воздействие атмосферных осадков и механических повреждений при транспортировке.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54B4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54B4">
        <w:rPr>
          <w:rFonts w:ascii="Times New Roman" w:hAnsi="Times New Roman"/>
          <w:b/>
          <w:szCs w:val="24"/>
          <w:lang w:eastAsia="ru-RU"/>
        </w:rPr>
        <w:t>РАЗДЕЛ 5. ТРЕБОВАНИЯ ПО ПРАВИЛАМ СДАЧИ И ПРИЕМКИ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2A0630" w:rsidRPr="002455CB" w:rsidTr="00E71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д.1, с участием уполномоченного представителя Поставщика.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2A0630" w:rsidRPr="002455CB" w:rsidTr="00E71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A0630" w:rsidRPr="002455CB" w:rsidTr="00E7174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Сопроводительные документы (товарные накладные), инструкции, паспорта (текст на русском языке) передаются Покупателю одновременно с получением Товара с обязательным проставлением штампа Поставщика. 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54B4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54B4">
        <w:rPr>
          <w:rFonts w:ascii="Times New Roman" w:hAnsi="Times New Roman"/>
          <w:b/>
          <w:szCs w:val="24"/>
          <w:lang w:eastAsia="ru-RU"/>
        </w:rPr>
        <w:t>РАЗДЕЛ 6. ТРЕБОВАНИЯ К ТРАНСПОРТИРОВАНИЮ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13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54B4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54B4">
        <w:rPr>
          <w:rFonts w:ascii="Times New Roman" w:hAnsi="Times New Roman"/>
          <w:b/>
          <w:szCs w:val="24"/>
          <w:lang w:eastAsia="ru-RU"/>
        </w:rPr>
        <w:t>РАЗДЕЛ 7. ТРЕБОВАНИЯ К ХРАНЕНИЮ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9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54B4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54B4">
        <w:rPr>
          <w:rFonts w:ascii="Times New Roman" w:hAnsi="Times New Roman"/>
          <w:b/>
          <w:szCs w:val="24"/>
          <w:lang w:eastAsia="ru-RU"/>
        </w:rPr>
        <w:t>РАЗДЕЛ 8. ТРЕБОВАНИЯ К ОБЪЕМУ И/ИЛИ СРОКУ ПРЕДОСТАВЛЕНИЯ ГАРАНТИЙ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Гарантийный срок – не менее 24 месяцев.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54B4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54B4">
        <w:rPr>
          <w:rFonts w:ascii="Times New Roman" w:hAnsi="Times New Roman"/>
          <w:b/>
          <w:szCs w:val="24"/>
          <w:lang w:eastAsia="ru-RU"/>
        </w:rPr>
        <w:t>РАЗДЕЛ 9. ТРЕБОВАНИЯ ПО РЕМОНТОПРИГОДНОСТИ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15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54B4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54B4">
        <w:rPr>
          <w:rFonts w:ascii="Times New Roman" w:hAnsi="Times New Roman"/>
          <w:b/>
          <w:szCs w:val="24"/>
          <w:lang w:eastAsia="ru-RU"/>
        </w:rPr>
        <w:t>РАЗДЕЛ 10. ТРЕБОВАНИЯ К ОБСЛУЖИВАНИЮ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11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54B4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54B4">
        <w:rPr>
          <w:rFonts w:ascii="Times New Roman" w:hAnsi="Times New Roman"/>
          <w:b/>
          <w:szCs w:val="24"/>
          <w:lang w:eastAsia="ru-RU"/>
        </w:rPr>
        <w:t>РАЗДЕЛ 11. ЭКОЛОГИЧЕСКИЕ ТРЕБОВАНИЯ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10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54B4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54B4">
        <w:rPr>
          <w:rFonts w:ascii="Times New Roman" w:hAnsi="Times New Roman"/>
          <w:b/>
          <w:szCs w:val="24"/>
          <w:lang w:eastAsia="ru-RU"/>
        </w:rPr>
        <w:t>РАЗДЕЛ 12. ТРЕБОВАНИЯ ПО БЕЗОПАСНОСТИ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10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Наличие санитарно-эпидемиологического заключения, выданного Федеральной службой по надзору в сфере защиты прав потребителей и благополучия человека.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54B4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54B4">
        <w:rPr>
          <w:rFonts w:ascii="Times New Roman" w:hAnsi="Times New Roman"/>
          <w:b/>
          <w:szCs w:val="24"/>
          <w:lang w:eastAsia="ru-RU"/>
        </w:rPr>
        <w:lastRenderedPageBreak/>
        <w:t>РАЗДЕЛ 13. ТРЕБОВАНИЯ К КАЧЕСТВУ И КЛАССИФИКАЦИЯ ОБОРУДОВАНИЯ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54B4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54B4">
        <w:rPr>
          <w:rFonts w:ascii="Times New Roman" w:hAnsi="Times New Roman"/>
          <w:b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54B4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54B4">
        <w:rPr>
          <w:rFonts w:ascii="Times New Roman" w:hAnsi="Times New Roman"/>
          <w:b/>
          <w:szCs w:val="24"/>
          <w:lang w:eastAsia="ru-RU"/>
        </w:rPr>
        <w:t>РАЗДЕЛ 15. ДОПОЛНИТЕЛЬНЫЕ (ИНЫЕ) ТРЕБОВАНИЯ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7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Наличие сертификата соответствия, выданного Федеральным агентством по техническому регулированию и метрологии; экспертного заключения, выданного Федеральным медико-биологическим агентством Федеральным государственным учреждением здравоохранения Центром гигиены и эпидемиологии (ФГУЗ </w:t>
            </w:r>
            <w:proofErr w:type="spellStart"/>
            <w:r w:rsidRPr="002455CB">
              <w:rPr>
                <w:rFonts w:ascii="Times New Roman" w:hAnsi="Times New Roman"/>
                <w:szCs w:val="24"/>
                <w:lang w:eastAsia="ru-RU"/>
              </w:rPr>
              <w:t>ЦГиЭ</w:t>
            </w:r>
            <w:proofErr w:type="spellEnd"/>
            <w:r w:rsidRPr="002455CB">
              <w:rPr>
                <w:rFonts w:ascii="Times New Roman" w:hAnsi="Times New Roman"/>
                <w:szCs w:val="24"/>
                <w:lang w:eastAsia="ru-RU"/>
              </w:rPr>
              <w:t xml:space="preserve"> ФМБА России).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54B4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54B4">
        <w:rPr>
          <w:rFonts w:ascii="Times New Roman" w:hAnsi="Times New Roman"/>
          <w:b/>
          <w:szCs w:val="24"/>
          <w:lang w:eastAsia="ru-RU"/>
        </w:rPr>
        <w:t>РАЗДЕЛ 16. ТРЕБОВАНИЯ К КОЛИЧЕСТВУ И СРОКУ (ПЕРИОДИЧНОСТИ) ПОСТАВКИ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64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Поставка Товара должна быть осуществлена в полном объеме 30 июня 2014 года. Возможна досрочная поставка.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54B4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54B4">
        <w:rPr>
          <w:rFonts w:ascii="Times New Roman" w:hAnsi="Times New Roman"/>
          <w:b/>
          <w:szCs w:val="24"/>
          <w:lang w:eastAsia="ru-RU"/>
        </w:rPr>
        <w:t>РАЗДЕЛ 17. ТРЕБОВАНИЕ К ФОРМЕ ПРЕДСТАВЛЯЕМОЙ ИНФОРМАЦИИ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rPr>
          <w:trHeight w:val="13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1D54B4" w:rsidRDefault="002A0630" w:rsidP="002A0630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1D54B4">
        <w:rPr>
          <w:rFonts w:ascii="Times New Roman" w:hAnsi="Times New Roman"/>
          <w:b/>
          <w:szCs w:val="24"/>
          <w:lang w:eastAsia="ru-RU"/>
        </w:rPr>
        <w:t>РАЗДЕЛ 18. ТРЕБОВАНИЯ К ТЕХНИЧЕСКОМУ ОБУЧЕНИЮ ПЕРСОНАЛА ЗАКАЗЧИКА</w:t>
      </w:r>
    </w:p>
    <w:p w:rsidR="002A0630" w:rsidRPr="002455CB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2A0630" w:rsidRPr="002455CB" w:rsidTr="00E7174F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630" w:rsidRPr="002455CB" w:rsidRDefault="002A0630" w:rsidP="00E7174F">
            <w:pPr>
              <w:suppressAutoHyphens w:val="0"/>
              <w:ind w:firstLine="54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2455CB">
              <w:rPr>
                <w:rFonts w:ascii="Times New Roman" w:hAnsi="Times New Roman"/>
                <w:szCs w:val="24"/>
                <w:lang w:eastAsia="ru-RU"/>
              </w:rPr>
              <w:t>Не предусмотрены</w:t>
            </w:r>
          </w:p>
        </w:tc>
      </w:tr>
    </w:tbl>
    <w:p w:rsidR="002A0630" w:rsidRPr="00A9570D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Pr="00A9570D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2A0630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CD534B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CD534B">
        <w:rPr>
          <w:rFonts w:ascii="Times New Roman" w:hAnsi="Times New Roman"/>
          <w:szCs w:val="24"/>
          <w:lang w:eastAsia="ru-RU"/>
        </w:rPr>
        <w:t xml:space="preserve">: </w:t>
      </w:r>
      <w:r>
        <w:rPr>
          <w:rFonts w:ascii="Times New Roman" w:hAnsi="Times New Roman"/>
          <w:szCs w:val="24"/>
          <w:lang w:eastAsia="ru-RU"/>
        </w:rPr>
        <w:t>Павлова Юлия Викторовна</w:t>
      </w:r>
      <w:r w:rsidRPr="00CD534B">
        <w:rPr>
          <w:rFonts w:ascii="Times New Roman" w:hAnsi="Times New Roman"/>
          <w:szCs w:val="24"/>
          <w:lang w:eastAsia="ru-RU"/>
        </w:rPr>
        <w:t>, (48439) 9-4</w:t>
      </w:r>
      <w:r>
        <w:rPr>
          <w:rFonts w:ascii="Times New Roman" w:hAnsi="Times New Roman"/>
          <w:szCs w:val="24"/>
          <w:lang w:eastAsia="ru-RU"/>
        </w:rPr>
        <w:t>7-50</w:t>
      </w:r>
      <w:r w:rsidRPr="00CD534B">
        <w:rPr>
          <w:rFonts w:ascii="Times New Roman" w:hAnsi="Times New Roman"/>
          <w:bCs/>
          <w:szCs w:val="24"/>
          <w:lang w:eastAsia="ru-RU"/>
        </w:rPr>
        <w:t>.</w:t>
      </w:r>
    </w:p>
    <w:p w:rsidR="002A0630" w:rsidRDefault="002A0630" w:rsidP="002A0630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A81"/>
    <w:rsid w:val="002A0630"/>
    <w:rsid w:val="002D5A8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6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6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1450</Words>
  <Characters>8269</Characters>
  <Application>Microsoft Office Word</Application>
  <DocSecurity>0</DocSecurity>
  <Lines>68</Lines>
  <Paragraphs>19</Paragraphs>
  <ScaleCrop>false</ScaleCrop>
  <Company>Организация</Company>
  <LinksUpToDate>false</LinksUpToDate>
  <CharactersWithSpaces>9700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2014-04-23T11:17:00Z</dcterms:created>
  <dcterms:modified xsi:type="dcterms:W3CDTF">2014-04-23T11:17:00Z</dcterms:modified>
</cp:coreProperties>
</file>