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EDD" w:rsidRDefault="002C0EDD" w:rsidP="002C0EDD">
      <w:pPr>
        <w:tabs>
          <w:tab w:val="num" w:pos="1080"/>
        </w:tabs>
        <w:jc w:val="center"/>
        <w:rPr>
          <w:b/>
          <w:caps/>
          <w:sz w:val="26"/>
        </w:rPr>
      </w:pPr>
      <w:r w:rsidRPr="002C0EDD">
        <w:rPr>
          <w:b/>
          <w:caps/>
          <w:sz w:val="26"/>
        </w:rPr>
        <w:t>ТЕХНИЧЕСКОЕ ЗАДАНИЕ</w:t>
      </w:r>
    </w:p>
    <w:p w:rsidR="00877EC8" w:rsidRPr="002C0EDD" w:rsidRDefault="00877EC8" w:rsidP="002C0EDD">
      <w:pPr>
        <w:tabs>
          <w:tab w:val="num" w:pos="1080"/>
        </w:tabs>
        <w:jc w:val="center"/>
        <w:rPr>
          <w:b/>
          <w:caps/>
          <w:sz w:val="26"/>
        </w:rPr>
      </w:pPr>
    </w:p>
    <w:p w:rsidR="00877EC8" w:rsidRPr="00C541FB" w:rsidRDefault="00877EC8" w:rsidP="00877EC8">
      <w:pPr>
        <w:rPr>
          <w:rFonts w:eastAsiaTheme="minorHAnsi"/>
          <w:b/>
          <w:lang w:eastAsia="en-US"/>
        </w:rPr>
      </w:pPr>
      <w:r w:rsidRPr="00C541FB">
        <w:rPr>
          <w:rFonts w:eastAsiaTheme="minorHAnsi"/>
          <w:b/>
          <w:lang w:eastAsia="en-US"/>
        </w:rPr>
        <w:t xml:space="preserve">ЛОТ №1 – </w:t>
      </w:r>
      <w:r w:rsidRPr="00D774FB">
        <w:rPr>
          <w:b/>
          <w:bCs/>
          <w:color w:val="000000"/>
        </w:rPr>
        <w:t>ОАО «Атомредметзолото»</w:t>
      </w:r>
      <w:r w:rsidRPr="00C541FB">
        <w:rPr>
          <w:rFonts w:eastAsiaTheme="minorHAnsi"/>
          <w:b/>
          <w:lang w:eastAsia="en-US"/>
        </w:rPr>
        <w:t>;</w:t>
      </w:r>
    </w:p>
    <w:p w:rsidR="00877EC8" w:rsidRPr="00C541FB" w:rsidRDefault="00877EC8" w:rsidP="00877EC8">
      <w:pPr>
        <w:rPr>
          <w:rFonts w:eastAsiaTheme="minorHAnsi"/>
          <w:b/>
          <w:lang w:eastAsia="en-US"/>
        </w:rPr>
      </w:pPr>
      <w:r w:rsidRPr="00C541FB">
        <w:rPr>
          <w:rFonts w:eastAsiaTheme="minorHAnsi"/>
          <w:b/>
          <w:lang w:eastAsia="en-US"/>
        </w:rPr>
        <w:t xml:space="preserve">ЛОТ № 2 – </w:t>
      </w:r>
      <w:r w:rsidRPr="00D774FB">
        <w:rPr>
          <w:b/>
          <w:bCs/>
          <w:color w:val="000000"/>
        </w:rPr>
        <w:t>ОАО «ППГХО»</w:t>
      </w:r>
      <w:r w:rsidRPr="00C541FB">
        <w:rPr>
          <w:rFonts w:eastAsiaTheme="minorHAnsi"/>
          <w:b/>
          <w:lang w:eastAsia="en-US"/>
        </w:rPr>
        <w:t>;</w:t>
      </w:r>
    </w:p>
    <w:p w:rsidR="00877EC8" w:rsidRPr="00877EC8" w:rsidRDefault="00877EC8" w:rsidP="00877EC8">
      <w:pPr>
        <w:rPr>
          <w:rFonts w:eastAsiaTheme="minorHAnsi"/>
          <w:b/>
          <w:lang w:eastAsia="en-US"/>
        </w:rPr>
      </w:pPr>
      <w:r w:rsidRPr="00C541FB">
        <w:rPr>
          <w:rFonts w:eastAsiaTheme="minorHAnsi"/>
          <w:b/>
          <w:lang w:eastAsia="en-US"/>
        </w:rPr>
        <w:t xml:space="preserve">ЛОТ № 3 – </w:t>
      </w:r>
      <w:r w:rsidRPr="00D774FB">
        <w:rPr>
          <w:b/>
          <w:bCs/>
          <w:color w:val="000000"/>
        </w:rPr>
        <w:t>ОАО «Хиагда»</w:t>
      </w:r>
      <w:r>
        <w:rPr>
          <w:rFonts w:eastAsiaTheme="minorHAnsi"/>
          <w:b/>
          <w:lang w:eastAsia="en-US"/>
        </w:rPr>
        <w:t>.</w:t>
      </w:r>
    </w:p>
    <w:p w:rsidR="002C0EDD" w:rsidRPr="002C0EDD" w:rsidRDefault="002C0EDD" w:rsidP="00877EC8">
      <w:pPr>
        <w:spacing w:before="240"/>
        <w:jc w:val="both"/>
        <w:rPr>
          <w:b/>
          <w:sz w:val="26"/>
        </w:rPr>
      </w:pPr>
      <w:r w:rsidRPr="002C0EDD">
        <w:rPr>
          <w:b/>
          <w:sz w:val="26"/>
        </w:rPr>
        <w:t>Цель услуг</w:t>
      </w:r>
    </w:p>
    <w:p w:rsidR="002C0EDD" w:rsidRPr="002C0EDD" w:rsidRDefault="002C0EDD" w:rsidP="002C0EDD">
      <w:pPr>
        <w:spacing w:after="120"/>
        <w:jc w:val="both"/>
        <w:rPr>
          <w:sz w:val="26"/>
        </w:rPr>
      </w:pPr>
      <w:r w:rsidRPr="002C0EDD">
        <w:rPr>
          <w:sz w:val="26"/>
        </w:rPr>
        <w:t>Цель услуг – предотвращение материальных ошибок в финансовой отчетности Заказчика.</w:t>
      </w:r>
    </w:p>
    <w:p w:rsidR="002C0EDD" w:rsidRPr="002C0EDD" w:rsidRDefault="002C0EDD" w:rsidP="002C0EDD">
      <w:pPr>
        <w:spacing w:before="240" w:after="120"/>
        <w:jc w:val="both"/>
        <w:rPr>
          <w:b/>
          <w:sz w:val="26"/>
        </w:rPr>
      </w:pPr>
      <w:r w:rsidRPr="002C0EDD">
        <w:rPr>
          <w:b/>
          <w:sz w:val="26"/>
        </w:rPr>
        <w:t xml:space="preserve">Задачи </w:t>
      </w:r>
    </w:p>
    <w:p w:rsidR="002C0EDD" w:rsidRPr="002C0EDD" w:rsidRDefault="002C0EDD" w:rsidP="002C0EDD">
      <w:pPr>
        <w:spacing w:after="120"/>
        <w:jc w:val="both"/>
        <w:rPr>
          <w:sz w:val="26"/>
        </w:rPr>
      </w:pPr>
      <w:r w:rsidRPr="002C0EDD">
        <w:rPr>
          <w:sz w:val="26"/>
        </w:rPr>
        <w:t>Основная задача - анализ существующей системы внутренних контролей финансовой отчетности (далее – СВК ФО) и разработка рекомендаций и мероприятий по совершенствованию системы внутренних контролей финансовой отчетности Заказчика по выбранным учетным процессам.</w:t>
      </w:r>
    </w:p>
    <w:p w:rsidR="002C0EDD" w:rsidRPr="002C0EDD" w:rsidRDefault="002C0EDD" w:rsidP="002C0EDD">
      <w:pPr>
        <w:spacing w:before="240" w:after="120"/>
        <w:jc w:val="both"/>
        <w:rPr>
          <w:b/>
          <w:sz w:val="26"/>
        </w:rPr>
      </w:pPr>
      <w:r w:rsidRPr="002C0EDD">
        <w:rPr>
          <w:b/>
          <w:sz w:val="26"/>
        </w:rPr>
        <w:t xml:space="preserve">Объекты  обследования </w:t>
      </w:r>
    </w:p>
    <w:p w:rsidR="002C0EDD" w:rsidRPr="002C0EDD" w:rsidRDefault="002C0EDD" w:rsidP="002C0EDD">
      <w:pPr>
        <w:spacing w:after="120"/>
        <w:jc w:val="both"/>
        <w:rPr>
          <w:sz w:val="26"/>
        </w:rPr>
      </w:pPr>
      <w:r w:rsidRPr="002C0EDD">
        <w:rPr>
          <w:sz w:val="26"/>
        </w:rPr>
        <w:t>Объектами  обследования в процессе оказания услуг являются следующие учетные процессы Заказчика: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jc w:val="both"/>
        <w:rPr>
          <w:sz w:val="26"/>
        </w:rPr>
      </w:pPr>
      <w:r w:rsidRPr="002C0EDD">
        <w:rPr>
          <w:sz w:val="26"/>
        </w:rPr>
        <w:t>учет банковских операций;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jc w:val="both"/>
        <w:rPr>
          <w:sz w:val="26"/>
        </w:rPr>
      </w:pPr>
      <w:r w:rsidRPr="002C0EDD">
        <w:rPr>
          <w:sz w:val="26"/>
        </w:rPr>
        <w:t>учет операций с капиталом.</w:t>
      </w:r>
    </w:p>
    <w:p w:rsidR="002C0EDD" w:rsidRPr="002C0EDD" w:rsidRDefault="002C0EDD" w:rsidP="002C0EDD">
      <w:pPr>
        <w:spacing w:before="240" w:after="120"/>
        <w:jc w:val="both"/>
        <w:rPr>
          <w:b/>
          <w:sz w:val="26"/>
        </w:rPr>
      </w:pPr>
      <w:r w:rsidRPr="002C0EDD">
        <w:rPr>
          <w:b/>
          <w:sz w:val="26"/>
        </w:rPr>
        <w:t>Предоставляемая информация</w:t>
      </w:r>
    </w:p>
    <w:p w:rsidR="002C0EDD" w:rsidRPr="002C0EDD" w:rsidRDefault="002C0EDD" w:rsidP="002C0EDD">
      <w:pPr>
        <w:spacing w:after="120"/>
        <w:jc w:val="both"/>
        <w:rPr>
          <w:sz w:val="26"/>
        </w:rPr>
      </w:pPr>
      <w:r w:rsidRPr="002C0EDD">
        <w:rPr>
          <w:sz w:val="26"/>
        </w:rPr>
        <w:t xml:space="preserve">До момента начала предоставления услуг Заказчик передает Исполнителю </w:t>
      </w:r>
      <w:r w:rsidRPr="002C0EDD">
        <w:rPr>
          <w:rFonts w:ascii="Times" w:hAnsi="Times"/>
          <w:sz w:val="26"/>
        </w:rPr>
        <w:t>следующую информацию</w:t>
      </w:r>
      <w:r w:rsidRPr="002C0EDD">
        <w:rPr>
          <w:sz w:val="26"/>
        </w:rPr>
        <w:t>:</w:t>
      </w:r>
    </w:p>
    <w:p w:rsidR="002C0EDD" w:rsidRPr="002C0EDD" w:rsidRDefault="002C0EDD" w:rsidP="002C0EDD">
      <w:pPr>
        <w:pStyle w:val="a8"/>
        <w:widowControl w:val="0"/>
        <w:numPr>
          <w:ilvl w:val="0"/>
          <w:numId w:val="1"/>
        </w:numPr>
        <w:spacing w:after="120"/>
        <w:ind w:left="567" w:hanging="567"/>
        <w:contextualSpacing w:val="0"/>
        <w:jc w:val="both"/>
        <w:rPr>
          <w:sz w:val="26"/>
        </w:rPr>
      </w:pPr>
      <w:r w:rsidRPr="002C0EDD">
        <w:rPr>
          <w:sz w:val="26"/>
        </w:rPr>
        <w:t>Письмо Госкорпорации «Росатом» № 1-10.4/17757 от 20.05.2013 «О разработке и внедрении контрольных процедур».</w:t>
      </w:r>
    </w:p>
    <w:p w:rsidR="002C0EDD" w:rsidRPr="002C0EDD" w:rsidRDefault="002C0EDD" w:rsidP="002C0EDD">
      <w:pPr>
        <w:pStyle w:val="a8"/>
        <w:widowControl w:val="0"/>
        <w:numPr>
          <w:ilvl w:val="0"/>
          <w:numId w:val="1"/>
        </w:numPr>
        <w:spacing w:after="120"/>
        <w:ind w:left="567" w:hanging="567"/>
        <w:contextualSpacing w:val="0"/>
        <w:jc w:val="both"/>
        <w:rPr>
          <w:sz w:val="26"/>
        </w:rPr>
      </w:pPr>
      <w:r w:rsidRPr="002C0EDD">
        <w:rPr>
          <w:sz w:val="26"/>
        </w:rPr>
        <w:t xml:space="preserve">Шаблоны документирования системы внутренних контролей финансовой отчетности по процессу - учет банковских операций и учет операций с капиталом. </w:t>
      </w:r>
    </w:p>
    <w:p w:rsidR="002C0EDD" w:rsidRPr="002C0EDD" w:rsidRDefault="002C0EDD" w:rsidP="002C0EDD">
      <w:pPr>
        <w:suppressAutoHyphens/>
        <w:spacing w:after="120"/>
        <w:jc w:val="both"/>
        <w:rPr>
          <w:sz w:val="26"/>
        </w:rPr>
      </w:pPr>
      <w:r w:rsidRPr="002C0EDD">
        <w:rPr>
          <w:sz w:val="26"/>
        </w:rPr>
        <w:t>3.    Внутренние нормативные документы Заказчика, связанные с включением информации в финансовую отчетность по процессам - учет банковских операций и учет операций с капиталом.</w:t>
      </w:r>
    </w:p>
    <w:p w:rsidR="002C0EDD" w:rsidRPr="002C0EDD" w:rsidRDefault="002C0EDD" w:rsidP="002C0EDD">
      <w:pPr>
        <w:spacing w:before="240" w:after="120"/>
        <w:jc w:val="both"/>
        <w:rPr>
          <w:b/>
          <w:sz w:val="26"/>
        </w:rPr>
      </w:pPr>
      <w:r w:rsidRPr="002C0EDD">
        <w:rPr>
          <w:b/>
          <w:sz w:val="26"/>
        </w:rPr>
        <w:t>Порядок оказания услуг</w:t>
      </w:r>
    </w:p>
    <w:p w:rsidR="002C0EDD" w:rsidRPr="002C0EDD" w:rsidRDefault="002C0EDD" w:rsidP="002C0EDD">
      <w:pPr>
        <w:spacing w:after="120"/>
        <w:jc w:val="both"/>
        <w:rPr>
          <w:sz w:val="26"/>
        </w:rPr>
      </w:pPr>
      <w:r w:rsidRPr="002C0EDD">
        <w:rPr>
          <w:sz w:val="26"/>
        </w:rPr>
        <w:t>В процессе оказания услуг Исполнитель должен выполнить следующие действия: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jc w:val="both"/>
        <w:rPr>
          <w:sz w:val="26"/>
        </w:rPr>
      </w:pPr>
      <w:r w:rsidRPr="002C0EDD">
        <w:rPr>
          <w:sz w:val="26"/>
        </w:rPr>
        <w:t>изучить информацию, предоставленную Заказчиком;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jc w:val="both"/>
        <w:rPr>
          <w:sz w:val="26"/>
        </w:rPr>
      </w:pPr>
      <w:r w:rsidRPr="002C0EDD">
        <w:rPr>
          <w:sz w:val="26"/>
        </w:rPr>
        <w:t>провести анализ выбранных учетных процессов и контролей Заказчика;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jc w:val="both"/>
        <w:rPr>
          <w:sz w:val="26"/>
        </w:rPr>
      </w:pPr>
      <w:r w:rsidRPr="002C0EDD">
        <w:rPr>
          <w:sz w:val="26"/>
        </w:rPr>
        <w:t>провести анализ существующих контрольных процедур по выбранным учетным процессам Заказчика;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jc w:val="both"/>
        <w:rPr>
          <w:sz w:val="26"/>
        </w:rPr>
      </w:pPr>
      <w:r w:rsidRPr="002C0EDD">
        <w:rPr>
          <w:sz w:val="26"/>
        </w:rPr>
        <w:t>провести анализ основных рисков искажения финансовой отчетности Заказчика по выбранным учетным процессам;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jc w:val="both"/>
        <w:rPr>
          <w:sz w:val="26"/>
        </w:rPr>
      </w:pPr>
      <w:r w:rsidRPr="002C0EDD">
        <w:rPr>
          <w:sz w:val="26"/>
        </w:rPr>
        <w:lastRenderedPageBreak/>
        <w:t>провести анализ дизайна существующих контрольных процедур и выявить недостатки системы внутренних контролей по выбранным учетным процессам;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jc w:val="both"/>
        <w:rPr>
          <w:sz w:val="26"/>
        </w:rPr>
      </w:pPr>
      <w:r w:rsidRPr="002C0EDD">
        <w:rPr>
          <w:sz w:val="26"/>
        </w:rPr>
        <w:t>разработать рекомендации и предложения по плану мероприятий, направленные на совершенствование системы внутренних контролей финансовой отчетности Заказчика по выбранным учетным процессам;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jc w:val="both"/>
        <w:rPr>
          <w:sz w:val="26"/>
        </w:rPr>
      </w:pPr>
      <w:r w:rsidRPr="002C0EDD">
        <w:rPr>
          <w:sz w:val="26"/>
        </w:rPr>
        <w:t>согласовать рекомендации и план мероприятий по совершенствованию системы внутренних контролей финансовой отчетности с представителями Заказчика.</w:t>
      </w:r>
    </w:p>
    <w:p w:rsidR="002C0EDD" w:rsidRPr="002C0EDD" w:rsidRDefault="002C0EDD" w:rsidP="002C0EDD">
      <w:pPr>
        <w:spacing w:before="240" w:after="120"/>
        <w:jc w:val="both"/>
        <w:rPr>
          <w:b/>
          <w:sz w:val="26"/>
        </w:rPr>
      </w:pPr>
      <w:r w:rsidRPr="002C0EDD">
        <w:rPr>
          <w:b/>
          <w:sz w:val="26"/>
        </w:rPr>
        <w:t>Результаты</w:t>
      </w:r>
    </w:p>
    <w:p w:rsidR="002C0EDD" w:rsidRPr="002C0EDD" w:rsidRDefault="002C0EDD" w:rsidP="002C0EDD">
      <w:pPr>
        <w:spacing w:after="120"/>
        <w:jc w:val="both"/>
        <w:rPr>
          <w:sz w:val="26"/>
        </w:rPr>
      </w:pPr>
      <w:r w:rsidRPr="002C0EDD">
        <w:rPr>
          <w:sz w:val="26"/>
        </w:rPr>
        <w:t xml:space="preserve">Исполнитель должен подготовить и передать Заказчику </w:t>
      </w:r>
      <w:r w:rsidRPr="002C0EDD">
        <w:rPr>
          <w:rFonts w:ascii="Times" w:hAnsi="Times"/>
          <w:sz w:val="26"/>
        </w:rPr>
        <w:t xml:space="preserve">по каждому из выбранных учетных процессов </w:t>
      </w:r>
      <w:r w:rsidRPr="002C0EDD">
        <w:rPr>
          <w:sz w:val="26"/>
        </w:rPr>
        <w:t>следующие документы, предварительно согласованные с Главным бухгалтером Заказчика: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Матрица рисков и контролей;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Матрицы контролей (дизайн);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Рекомендации.</w:t>
      </w:r>
    </w:p>
    <w:p w:rsidR="002C0EDD" w:rsidRPr="002C0EDD" w:rsidRDefault="002C0EDD" w:rsidP="002C0EDD">
      <w:pPr>
        <w:spacing w:after="120"/>
        <w:jc w:val="both"/>
        <w:rPr>
          <w:sz w:val="26"/>
        </w:rPr>
      </w:pPr>
      <w:r w:rsidRPr="002C0EDD">
        <w:rPr>
          <w:sz w:val="26"/>
        </w:rPr>
        <w:t>План мероприятий в формате шаблонов документирования СВК ФО должен быть согласован с Главным бухгалтером Заказчика и начальником отдела контроля учетных процессов (ОКУП) Госкорпорации «Росатом».</w:t>
      </w:r>
    </w:p>
    <w:p w:rsidR="002C0EDD" w:rsidRPr="002C0EDD" w:rsidRDefault="002C0EDD" w:rsidP="002C0EDD">
      <w:pPr>
        <w:pStyle w:val="a9"/>
        <w:spacing w:after="120"/>
        <w:jc w:val="both"/>
        <w:rPr>
          <w:rFonts w:ascii="Times" w:hAnsi="Times"/>
          <w:sz w:val="26"/>
        </w:rPr>
      </w:pPr>
      <w:r w:rsidRPr="002C0EDD">
        <w:rPr>
          <w:rFonts w:ascii="Times" w:hAnsi="Times"/>
          <w:sz w:val="26"/>
        </w:rPr>
        <w:t>Названные документы должны содержать перечисленную ниже информацию (для Матрицы контролей (дизайн) и Рекомендаций перечислены не указанные для предыдущих документов поля)</w:t>
      </w:r>
      <w:bookmarkStart w:id="0" w:name="_TOC2504"/>
      <w:bookmarkStart w:id="1" w:name="TOC164053956"/>
      <w:bookmarkEnd w:id="0"/>
      <w:bookmarkEnd w:id="1"/>
      <w:r w:rsidRPr="002C0EDD">
        <w:rPr>
          <w:rFonts w:ascii="Times" w:hAnsi="Times"/>
          <w:sz w:val="26"/>
        </w:rPr>
        <w:t>:</w:t>
      </w:r>
    </w:p>
    <w:p w:rsidR="002C0EDD" w:rsidRPr="002C0EDD" w:rsidRDefault="002C0EDD" w:rsidP="002C0EDD">
      <w:pPr>
        <w:pStyle w:val="a9"/>
        <w:spacing w:before="120" w:after="120"/>
        <w:jc w:val="both"/>
        <w:rPr>
          <w:bCs/>
          <w:i/>
          <w:sz w:val="26"/>
          <w:szCs w:val="24"/>
        </w:rPr>
      </w:pPr>
      <w:r w:rsidRPr="002C0EDD">
        <w:rPr>
          <w:bCs/>
          <w:i/>
          <w:sz w:val="26"/>
          <w:szCs w:val="24"/>
        </w:rPr>
        <w:t>Матрица рисков и контролей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номер риска;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подпроцесс;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основные хозяйственные операции;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сохранность активов/мошенничество;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полнота;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существование и возникновение;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представление и раскрытие;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права и обязательства;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оценка и распределение;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задача контроля;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риск;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оценка влияния риска (минимальная/умеренная/критическая);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оценка вероятности риска (почти невозможно/возможно/ почти наверняка);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оценка риска (низкий/средний/высокий);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номер контрольной процедуры/недостатка;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описание существующей контрольной процедуры;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lastRenderedPageBreak/>
        <w:t>место выполнения контрольной процедуры / местонахождение доказательств;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подразделение/организация Корпорации, ответственная за выполнение контрольной процедуры;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владелец контрольной процедуры;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контрольная процедура эффективна по дизайну (да/нет)?;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описание недостатка контрольной процедуры по дизайну;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ind w:left="357" w:hanging="357"/>
        <w:contextualSpacing w:val="0"/>
        <w:rPr>
          <w:sz w:val="26"/>
        </w:rPr>
      </w:pPr>
      <w:r w:rsidRPr="002C0EDD">
        <w:rPr>
          <w:sz w:val="26"/>
        </w:rPr>
        <w:t>тип недостатка дизайна:</w:t>
      </w:r>
    </w:p>
    <w:p w:rsidR="002C0EDD" w:rsidRPr="002C0EDD" w:rsidRDefault="002C0EDD" w:rsidP="002C0EDD">
      <w:pPr>
        <w:pStyle w:val="a9"/>
        <w:numPr>
          <w:ilvl w:val="0"/>
          <w:numId w:val="3"/>
        </w:numPr>
        <w:ind w:left="714" w:hanging="357"/>
        <w:jc w:val="both"/>
        <w:rPr>
          <w:rFonts w:eastAsia="Times New Roman"/>
          <w:color w:val="auto"/>
          <w:sz w:val="26"/>
          <w:szCs w:val="24"/>
        </w:rPr>
      </w:pPr>
      <w:r w:rsidRPr="002C0EDD">
        <w:rPr>
          <w:rFonts w:eastAsia="Times New Roman"/>
          <w:color w:val="auto"/>
          <w:sz w:val="26"/>
          <w:szCs w:val="24"/>
        </w:rPr>
        <w:t>- отсутствует контрольная процедура для выполнения задачи контроля;</w:t>
      </w:r>
    </w:p>
    <w:p w:rsidR="002C0EDD" w:rsidRPr="002C0EDD" w:rsidRDefault="002C0EDD" w:rsidP="002C0EDD">
      <w:pPr>
        <w:pStyle w:val="a9"/>
        <w:numPr>
          <w:ilvl w:val="0"/>
          <w:numId w:val="3"/>
        </w:numPr>
        <w:ind w:left="714" w:hanging="357"/>
        <w:jc w:val="both"/>
        <w:rPr>
          <w:rFonts w:eastAsia="Times New Roman"/>
          <w:color w:val="auto"/>
          <w:sz w:val="26"/>
          <w:szCs w:val="24"/>
        </w:rPr>
      </w:pPr>
      <w:r w:rsidRPr="002C0EDD">
        <w:rPr>
          <w:rFonts w:eastAsia="Times New Roman"/>
          <w:color w:val="auto"/>
          <w:sz w:val="26"/>
          <w:szCs w:val="24"/>
        </w:rPr>
        <w:t>- недостаток дизайна существующей контрольной процедуры;</w:t>
      </w:r>
    </w:p>
    <w:p w:rsidR="002C0EDD" w:rsidRPr="002C0EDD" w:rsidRDefault="002C0EDD" w:rsidP="002C0EDD">
      <w:pPr>
        <w:pStyle w:val="a9"/>
        <w:numPr>
          <w:ilvl w:val="0"/>
          <w:numId w:val="3"/>
        </w:numPr>
        <w:ind w:left="714" w:hanging="357"/>
        <w:jc w:val="both"/>
        <w:rPr>
          <w:rFonts w:eastAsia="Times New Roman"/>
          <w:color w:val="auto"/>
          <w:sz w:val="26"/>
          <w:szCs w:val="24"/>
        </w:rPr>
      </w:pPr>
      <w:r w:rsidRPr="002C0EDD">
        <w:rPr>
          <w:rFonts w:eastAsia="Times New Roman"/>
          <w:color w:val="auto"/>
          <w:sz w:val="26"/>
          <w:szCs w:val="24"/>
        </w:rPr>
        <w:t>- недостаток формализации;</w:t>
      </w:r>
    </w:p>
    <w:p w:rsidR="002C0EDD" w:rsidRPr="002C0EDD" w:rsidRDefault="002C0EDD" w:rsidP="002C0EDD">
      <w:pPr>
        <w:pStyle w:val="a9"/>
        <w:numPr>
          <w:ilvl w:val="0"/>
          <w:numId w:val="3"/>
        </w:numPr>
        <w:ind w:left="714" w:hanging="357"/>
        <w:jc w:val="both"/>
        <w:rPr>
          <w:rFonts w:eastAsia="Times New Roman"/>
          <w:color w:val="auto"/>
          <w:sz w:val="26"/>
          <w:szCs w:val="24"/>
        </w:rPr>
      </w:pPr>
      <w:r w:rsidRPr="002C0EDD">
        <w:rPr>
          <w:rFonts w:eastAsia="Times New Roman"/>
          <w:color w:val="auto"/>
          <w:sz w:val="26"/>
          <w:szCs w:val="24"/>
        </w:rPr>
        <w:t>- недостаток документирования.</w:t>
      </w:r>
    </w:p>
    <w:p w:rsidR="002C0EDD" w:rsidRPr="002C0EDD" w:rsidRDefault="002C0EDD" w:rsidP="002C0EDD">
      <w:pPr>
        <w:pStyle w:val="a9"/>
        <w:spacing w:before="240" w:after="120"/>
        <w:jc w:val="both"/>
        <w:rPr>
          <w:bCs/>
          <w:i/>
          <w:sz w:val="26"/>
          <w:szCs w:val="24"/>
        </w:rPr>
      </w:pPr>
      <w:r w:rsidRPr="002C0EDD">
        <w:rPr>
          <w:bCs/>
          <w:i/>
          <w:sz w:val="26"/>
          <w:szCs w:val="24"/>
        </w:rPr>
        <w:t>Матрица контролей (дизайн)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доказательство выполнения контрольной процедуры;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наименование внутреннего нормативного документа;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средство контроля (ручное/автоматическое/комбинированное);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частота осуществления контрольной процедуры (примерное число раз в год);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тип контрольной процедуры (предупреждающая/выявляющая/не применимо);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прикладная система (для автоматизированных и комбинированных процедур).</w:t>
      </w:r>
    </w:p>
    <w:p w:rsidR="002C0EDD" w:rsidRPr="002C0EDD" w:rsidRDefault="002C0EDD" w:rsidP="002C0EDD">
      <w:pPr>
        <w:pStyle w:val="a9"/>
        <w:spacing w:before="240" w:after="120"/>
        <w:jc w:val="both"/>
        <w:rPr>
          <w:bCs/>
          <w:i/>
          <w:sz w:val="26"/>
          <w:szCs w:val="24"/>
        </w:rPr>
      </w:pPr>
      <w:r w:rsidRPr="002C0EDD">
        <w:rPr>
          <w:bCs/>
          <w:i/>
          <w:sz w:val="26"/>
          <w:szCs w:val="24"/>
        </w:rPr>
        <w:t>Рекомендации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описание недостатка контрольной процедуры;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недостаток связан с риском мошенничества (да/нет/ не применимо);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контрольная процедура эффективно выполняется (да/нет/ не применимо);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недостаток (да/нет);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потенциальная величина искажения;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пояснение к расчету суммы;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оценка вероятности искажения (низкая/возможная);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предварительная оценка значимости недостатка (низкий/средний/высокий/очень высокий);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контрольные процедуры, недостатки и/или обстоятельства, снижающие либо увеличивающие размер/вероятность возможных искажений;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оценка значимости недостатка с учетом дополнительных процедур/обстоятельств (низкий/средний/высокий/очень высокий);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рекомендации по исправлению недостатка;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план мероприятий руководства организации;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ответственный за исправление недостатка;</w:t>
      </w:r>
    </w:p>
    <w:p w:rsidR="002C0EDD" w:rsidRPr="002C0EDD" w:rsidRDefault="002C0EDD" w:rsidP="002C0EDD">
      <w:pPr>
        <w:pStyle w:val="a8"/>
        <w:numPr>
          <w:ilvl w:val="0"/>
          <w:numId w:val="2"/>
        </w:numPr>
        <w:suppressAutoHyphens/>
        <w:spacing w:after="120"/>
        <w:ind w:left="357" w:hanging="357"/>
        <w:contextualSpacing w:val="0"/>
        <w:rPr>
          <w:sz w:val="26"/>
        </w:rPr>
      </w:pPr>
      <w:r w:rsidRPr="002C0EDD">
        <w:rPr>
          <w:sz w:val="26"/>
        </w:rPr>
        <w:t>срок исправления недостатка.</w:t>
      </w:r>
    </w:p>
    <w:p w:rsidR="002C0EDD" w:rsidRPr="002C0EDD" w:rsidRDefault="002C0EDD" w:rsidP="002C0EDD">
      <w:pPr>
        <w:spacing w:before="240" w:after="120"/>
        <w:jc w:val="both"/>
        <w:rPr>
          <w:b/>
          <w:sz w:val="26"/>
        </w:rPr>
      </w:pPr>
      <w:r w:rsidRPr="002C0EDD">
        <w:rPr>
          <w:b/>
          <w:sz w:val="26"/>
        </w:rPr>
        <w:lastRenderedPageBreak/>
        <w:t>Сроки оказания услуг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71"/>
        <w:gridCol w:w="2976"/>
      </w:tblGrid>
      <w:tr w:rsidR="002C0EDD" w:rsidRPr="002C0EDD" w:rsidTr="00AF2FD2">
        <w:trPr>
          <w:trHeight w:val="647"/>
        </w:trPr>
        <w:tc>
          <w:tcPr>
            <w:tcW w:w="6771" w:type="dxa"/>
            <w:shd w:val="clear" w:color="auto" w:fill="auto"/>
            <w:vAlign w:val="center"/>
          </w:tcPr>
          <w:p w:rsidR="002C0EDD" w:rsidRPr="002C0EDD" w:rsidRDefault="002C0EDD" w:rsidP="00AF2FD2">
            <w:pPr>
              <w:jc w:val="center"/>
              <w:rPr>
                <w:b/>
                <w:sz w:val="26"/>
              </w:rPr>
            </w:pPr>
            <w:r w:rsidRPr="002C0EDD">
              <w:rPr>
                <w:b/>
                <w:sz w:val="26"/>
              </w:rPr>
              <w:t>Услуги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C0EDD" w:rsidRPr="002C0EDD" w:rsidRDefault="002C0EDD" w:rsidP="00AF2FD2">
            <w:pPr>
              <w:jc w:val="center"/>
              <w:rPr>
                <w:b/>
                <w:sz w:val="26"/>
              </w:rPr>
            </w:pPr>
            <w:r w:rsidRPr="002C0EDD">
              <w:rPr>
                <w:b/>
                <w:sz w:val="26"/>
              </w:rPr>
              <w:t>Сроки</w:t>
            </w:r>
          </w:p>
        </w:tc>
      </w:tr>
      <w:tr w:rsidR="002C0EDD" w:rsidRPr="002C0EDD" w:rsidTr="00AF2FD2">
        <w:trPr>
          <w:trHeight w:val="1168"/>
        </w:trPr>
        <w:tc>
          <w:tcPr>
            <w:tcW w:w="6771" w:type="dxa"/>
          </w:tcPr>
          <w:p w:rsidR="002C0EDD" w:rsidRPr="002C0EDD" w:rsidRDefault="002C0EDD" w:rsidP="00AF2FD2">
            <w:pPr>
              <w:rPr>
                <w:sz w:val="26"/>
              </w:rPr>
            </w:pPr>
            <w:r w:rsidRPr="002C0EDD">
              <w:rPr>
                <w:sz w:val="26"/>
              </w:rPr>
              <w:t>Описание процессов и контрольных процедур по процессам  (в формате шаблонов документирования)</w:t>
            </w:r>
          </w:p>
          <w:p w:rsidR="002C0EDD" w:rsidRPr="002C0EDD" w:rsidRDefault="002C0EDD" w:rsidP="00AF2FD2">
            <w:pPr>
              <w:rPr>
                <w:sz w:val="26"/>
              </w:rPr>
            </w:pPr>
            <w:r w:rsidRPr="002C0EDD">
              <w:rPr>
                <w:sz w:val="26"/>
              </w:rPr>
              <w:t>«Учет банковских операций»,</w:t>
            </w:r>
          </w:p>
          <w:p w:rsidR="002C0EDD" w:rsidRPr="002C0EDD" w:rsidRDefault="002C0EDD" w:rsidP="00AF2FD2">
            <w:pPr>
              <w:rPr>
                <w:sz w:val="26"/>
              </w:rPr>
            </w:pPr>
            <w:r w:rsidRPr="002C0EDD">
              <w:rPr>
                <w:sz w:val="26"/>
              </w:rPr>
              <w:t>«Учет операций с капиталом»</w:t>
            </w:r>
          </w:p>
        </w:tc>
        <w:tc>
          <w:tcPr>
            <w:tcW w:w="2976" w:type="dxa"/>
            <w:vAlign w:val="center"/>
          </w:tcPr>
          <w:p w:rsidR="002C0EDD" w:rsidRPr="002C0EDD" w:rsidRDefault="00BE3372" w:rsidP="00AF2FD2">
            <w:pPr>
              <w:jc w:val="center"/>
              <w:rPr>
                <w:sz w:val="26"/>
              </w:rPr>
            </w:pPr>
            <w:r>
              <w:rPr>
                <w:sz w:val="26"/>
                <w:lang w:val="en-US"/>
              </w:rPr>
              <w:t>16</w:t>
            </w:r>
            <w:r w:rsidR="002C0EDD" w:rsidRPr="002C0EDD">
              <w:rPr>
                <w:sz w:val="26"/>
              </w:rPr>
              <w:t>.08.2013</w:t>
            </w:r>
          </w:p>
        </w:tc>
      </w:tr>
      <w:tr w:rsidR="002C0EDD" w:rsidRPr="002C0EDD" w:rsidTr="00AF2FD2">
        <w:tc>
          <w:tcPr>
            <w:tcW w:w="6771" w:type="dxa"/>
          </w:tcPr>
          <w:p w:rsidR="002C0EDD" w:rsidRPr="002C0EDD" w:rsidRDefault="002C0EDD" w:rsidP="00AF2FD2">
            <w:pPr>
              <w:rPr>
                <w:sz w:val="26"/>
              </w:rPr>
            </w:pPr>
            <w:r w:rsidRPr="002C0EDD">
              <w:rPr>
                <w:sz w:val="26"/>
              </w:rPr>
              <w:t>Разработка рекомендаций и Плана мероприятий по совершенствованию СВК ФО по выбранным процессам</w:t>
            </w:r>
          </w:p>
        </w:tc>
        <w:tc>
          <w:tcPr>
            <w:tcW w:w="2976" w:type="dxa"/>
            <w:vAlign w:val="center"/>
          </w:tcPr>
          <w:p w:rsidR="002C0EDD" w:rsidRPr="002C0EDD" w:rsidRDefault="002C0EDD" w:rsidP="00AF2FD2">
            <w:pPr>
              <w:jc w:val="center"/>
              <w:rPr>
                <w:sz w:val="26"/>
              </w:rPr>
            </w:pPr>
            <w:r w:rsidRPr="002C0EDD">
              <w:rPr>
                <w:sz w:val="26"/>
              </w:rPr>
              <w:t>05.09.2013</w:t>
            </w:r>
          </w:p>
        </w:tc>
      </w:tr>
      <w:tr w:rsidR="002C0EDD" w:rsidRPr="002C0EDD" w:rsidTr="00AF2FD2">
        <w:trPr>
          <w:trHeight w:val="781"/>
        </w:trPr>
        <w:tc>
          <w:tcPr>
            <w:tcW w:w="6771" w:type="dxa"/>
          </w:tcPr>
          <w:p w:rsidR="002C0EDD" w:rsidRPr="002C0EDD" w:rsidRDefault="002C0EDD" w:rsidP="00AF2FD2">
            <w:pPr>
              <w:rPr>
                <w:sz w:val="26"/>
              </w:rPr>
            </w:pPr>
            <w:r w:rsidRPr="002C0EDD">
              <w:rPr>
                <w:sz w:val="26"/>
              </w:rPr>
              <w:t>Согласование Плана мероприятий по совершенствованию СВК ФО по выбранным процессам</w:t>
            </w:r>
          </w:p>
        </w:tc>
        <w:tc>
          <w:tcPr>
            <w:tcW w:w="2976" w:type="dxa"/>
            <w:vAlign w:val="center"/>
          </w:tcPr>
          <w:p w:rsidR="002C0EDD" w:rsidRPr="002C0EDD" w:rsidRDefault="002C0EDD" w:rsidP="00AF2FD2">
            <w:pPr>
              <w:jc w:val="center"/>
              <w:rPr>
                <w:sz w:val="26"/>
              </w:rPr>
            </w:pPr>
            <w:r w:rsidRPr="002C0EDD">
              <w:rPr>
                <w:sz w:val="26"/>
              </w:rPr>
              <w:t>20.09.2013</w:t>
            </w:r>
          </w:p>
        </w:tc>
      </w:tr>
    </w:tbl>
    <w:p w:rsidR="002C0EDD" w:rsidRPr="002C0EDD" w:rsidRDefault="002C0EDD" w:rsidP="002C0EDD">
      <w:pPr>
        <w:jc w:val="both"/>
        <w:rPr>
          <w:b/>
          <w:i/>
          <w:sz w:val="26"/>
          <w:u w:val="single"/>
        </w:rPr>
      </w:pPr>
    </w:p>
    <w:tbl>
      <w:tblPr>
        <w:tblW w:w="9940" w:type="dxa"/>
        <w:tblLook w:val="04A0"/>
      </w:tblPr>
      <w:tblGrid>
        <w:gridCol w:w="9940"/>
      </w:tblGrid>
      <w:tr w:rsidR="002C0EDD" w:rsidRPr="002C0EDD" w:rsidTr="00AF2FD2">
        <w:trPr>
          <w:trHeight w:val="1415"/>
        </w:trPr>
        <w:tc>
          <w:tcPr>
            <w:tcW w:w="9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C0EDD" w:rsidRPr="002C0EDD" w:rsidRDefault="002C0EDD" w:rsidP="00AF2FD2">
            <w:pPr>
              <w:pStyle w:val="a8"/>
              <w:spacing w:after="120"/>
              <w:ind w:left="0"/>
              <w:jc w:val="both"/>
              <w:rPr>
                <w:sz w:val="26"/>
              </w:rPr>
            </w:pPr>
            <w:r w:rsidRPr="002C0EDD">
              <w:rPr>
                <w:sz w:val="26"/>
              </w:rPr>
              <w:t>Указанные выше сроки соответствуют максимально возможным срокам окончания услуг.</w:t>
            </w:r>
          </w:p>
          <w:p w:rsidR="002C0EDD" w:rsidRPr="002C0EDD" w:rsidRDefault="002C0EDD" w:rsidP="00AF2FD2">
            <w:pPr>
              <w:spacing w:before="240" w:after="120"/>
              <w:jc w:val="both"/>
              <w:rPr>
                <w:b/>
                <w:sz w:val="26"/>
              </w:rPr>
            </w:pPr>
            <w:r w:rsidRPr="002C0EDD">
              <w:rPr>
                <w:b/>
                <w:sz w:val="26"/>
              </w:rPr>
              <w:t>Место оказания услуг</w:t>
            </w:r>
          </w:p>
          <w:p w:rsidR="002C0EDD" w:rsidRPr="002C0EDD" w:rsidRDefault="002C0EDD" w:rsidP="00AF2FD2">
            <w:pPr>
              <w:jc w:val="both"/>
              <w:rPr>
                <w:b/>
                <w:bCs/>
                <w:sz w:val="26"/>
              </w:rPr>
            </w:pPr>
            <w:r w:rsidRPr="002C0EDD">
              <w:rPr>
                <w:sz w:val="26"/>
              </w:rPr>
              <w:t>Услуги оказываются как на территории Заказчика, так и на территории Исполнителя.</w:t>
            </w:r>
          </w:p>
        </w:tc>
      </w:tr>
    </w:tbl>
    <w:p w:rsidR="002C0EDD" w:rsidRPr="002C0EDD" w:rsidRDefault="002C0EDD" w:rsidP="002C0EDD">
      <w:pPr>
        <w:rPr>
          <w:i/>
          <w:sz w:val="26"/>
          <w:u w:val="single"/>
        </w:rPr>
      </w:pPr>
    </w:p>
    <w:p w:rsidR="002C0EDD" w:rsidRPr="002C0EDD" w:rsidRDefault="002C0EDD" w:rsidP="002C0EDD">
      <w:pPr>
        <w:rPr>
          <w:i/>
          <w:sz w:val="26"/>
          <w:u w:val="single"/>
        </w:rPr>
      </w:pPr>
    </w:p>
    <w:p w:rsidR="002C0EDD" w:rsidRPr="002C0EDD" w:rsidRDefault="002C0EDD" w:rsidP="002C0EDD">
      <w:pPr>
        <w:rPr>
          <w:i/>
          <w:sz w:val="26"/>
          <w:u w:val="single"/>
        </w:rPr>
      </w:pPr>
    </w:p>
    <w:p w:rsidR="002C0EDD" w:rsidRPr="002C0EDD" w:rsidRDefault="002C0EDD" w:rsidP="002C0EDD">
      <w:pPr>
        <w:pStyle w:val="2"/>
        <w:suppressAutoHyphens/>
        <w:spacing w:line="240" w:lineRule="auto"/>
        <w:rPr>
          <w:i/>
          <w:sz w:val="26"/>
        </w:rPr>
      </w:pPr>
    </w:p>
    <w:p w:rsidR="00757874" w:rsidRPr="002C0EDD" w:rsidRDefault="00757874">
      <w:pPr>
        <w:rPr>
          <w:sz w:val="26"/>
        </w:rPr>
      </w:pPr>
    </w:p>
    <w:sectPr w:rsidR="00757874" w:rsidRPr="002C0EDD" w:rsidSect="002C0EDD">
      <w:headerReference w:type="default" r:id="rId7"/>
      <w:footerReference w:type="default" r:id="rId8"/>
      <w:pgSz w:w="11906" w:h="16838"/>
      <w:pgMar w:top="426" w:right="851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A3E" w:rsidRDefault="00450A3E" w:rsidP="002C0EDD">
      <w:r>
        <w:separator/>
      </w:r>
    </w:p>
  </w:endnote>
  <w:endnote w:type="continuationSeparator" w:id="0">
    <w:p w:rsidR="00450A3E" w:rsidRDefault="00450A3E" w:rsidP="002C0E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9" w:type="dxa"/>
      <w:tblBorders>
        <w:insideH w:val="single" w:sz="4" w:space="0" w:color="auto"/>
      </w:tblBorders>
      <w:tblLook w:val="01E0"/>
    </w:tblPr>
    <w:tblGrid>
      <w:gridCol w:w="4736"/>
      <w:gridCol w:w="5153"/>
    </w:tblGrid>
    <w:tr w:rsidR="00781C40" w:rsidTr="002C0EDD">
      <w:tc>
        <w:tcPr>
          <w:tcW w:w="4736" w:type="dxa"/>
        </w:tcPr>
        <w:p w:rsidR="00781C40" w:rsidRPr="00677B8F" w:rsidRDefault="00450A3E" w:rsidP="00A64A04">
          <w:pPr>
            <w:rPr>
              <w:color w:val="1F497D"/>
              <w:sz w:val="20"/>
              <w:szCs w:val="20"/>
              <w:lang w:val="en-US"/>
            </w:rPr>
          </w:pPr>
        </w:p>
      </w:tc>
      <w:tc>
        <w:tcPr>
          <w:tcW w:w="5153" w:type="dxa"/>
          <w:vAlign w:val="center"/>
        </w:tcPr>
        <w:p w:rsidR="00781C40" w:rsidRPr="00677B8F" w:rsidRDefault="00450A3E">
          <w:pPr>
            <w:pStyle w:val="a3"/>
            <w:jc w:val="right"/>
            <w:rPr>
              <w:rStyle w:val="a7"/>
              <w:b/>
              <w:sz w:val="20"/>
              <w:szCs w:val="20"/>
            </w:rPr>
          </w:pPr>
        </w:p>
      </w:tc>
    </w:tr>
  </w:tbl>
  <w:p w:rsidR="00781C40" w:rsidRDefault="00450A3E" w:rsidP="002C0EDD">
    <w:pPr>
      <w:pStyle w:val="a5"/>
      <w:tabs>
        <w:tab w:val="clear" w:pos="4677"/>
        <w:tab w:val="center" w:pos="7200"/>
      </w:tabs>
      <w:ind w:left="496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A3E" w:rsidRDefault="00450A3E" w:rsidP="002C0EDD">
      <w:r>
        <w:separator/>
      </w:r>
    </w:p>
  </w:footnote>
  <w:footnote w:type="continuationSeparator" w:id="0">
    <w:p w:rsidR="00450A3E" w:rsidRDefault="00450A3E" w:rsidP="002C0E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31" w:type="dxa"/>
      <w:tblLook w:val="01E0"/>
    </w:tblPr>
    <w:tblGrid>
      <w:gridCol w:w="2802"/>
      <w:gridCol w:w="7229"/>
    </w:tblGrid>
    <w:tr w:rsidR="00781C40" w:rsidTr="009D3593">
      <w:tc>
        <w:tcPr>
          <w:tcW w:w="2802" w:type="dxa"/>
        </w:tcPr>
        <w:p w:rsidR="00781C40" w:rsidRDefault="00450A3E">
          <w:pPr>
            <w:pStyle w:val="a3"/>
          </w:pPr>
        </w:p>
      </w:tc>
      <w:tc>
        <w:tcPr>
          <w:tcW w:w="7229" w:type="dxa"/>
          <w:vAlign w:val="center"/>
        </w:tcPr>
        <w:p w:rsidR="00781C40" w:rsidRPr="00677B8F" w:rsidRDefault="00450A3E">
          <w:pPr>
            <w:pStyle w:val="a3"/>
            <w:jc w:val="right"/>
            <w:rPr>
              <w:b/>
              <w:i/>
              <w:caps/>
              <w:sz w:val="20"/>
              <w:szCs w:val="20"/>
            </w:rPr>
          </w:pPr>
        </w:p>
      </w:tc>
    </w:tr>
  </w:tbl>
  <w:p w:rsidR="00781C40" w:rsidRDefault="00450A3E">
    <w:pPr>
      <w:pStyle w:val="a3"/>
      <w:jc w:val="right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2031"/>
    <w:multiLevelType w:val="hybridMultilevel"/>
    <w:tmpl w:val="4EA0B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D0FE7"/>
    <w:multiLevelType w:val="hybridMultilevel"/>
    <w:tmpl w:val="7A301FFC"/>
    <w:lvl w:ilvl="0" w:tplc="A24E366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464E5C"/>
    <w:multiLevelType w:val="hybridMultilevel"/>
    <w:tmpl w:val="A9AA8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0EDD"/>
    <w:rsid w:val="000B6F6F"/>
    <w:rsid w:val="001A5826"/>
    <w:rsid w:val="002C0EDD"/>
    <w:rsid w:val="00450A3E"/>
    <w:rsid w:val="00757874"/>
    <w:rsid w:val="00877EC8"/>
    <w:rsid w:val="00BD781C"/>
    <w:rsid w:val="00BE3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E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C0ED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C0E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2C0ED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C0E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2C0EDD"/>
  </w:style>
  <w:style w:type="paragraph" w:styleId="2">
    <w:name w:val="Body Text 2"/>
    <w:basedOn w:val="a"/>
    <w:link w:val="20"/>
    <w:rsid w:val="002C0ED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C0E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2C0EDD"/>
    <w:pPr>
      <w:ind w:left="720"/>
      <w:contextualSpacing/>
    </w:pPr>
  </w:style>
  <w:style w:type="paragraph" w:customStyle="1" w:styleId="a9">
    <w:name w:val="Свободная форма"/>
    <w:rsid w:val="002C0ED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820</Words>
  <Characters>4678</Characters>
  <Application>Microsoft Office Word</Application>
  <DocSecurity>0</DocSecurity>
  <Lines>38</Lines>
  <Paragraphs>10</Paragraphs>
  <ScaleCrop>false</ScaleCrop>
  <Company>ARMZ</Company>
  <LinksUpToDate>false</LinksUpToDate>
  <CharactersWithSpaces>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matveeva.t.y</dc:creator>
  <cp:lastModifiedBy>Kolomeychuk.o.y</cp:lastModifiedBy>
  <cp:revision>3</cp:revision>
  <dcterms:created xsi:type="dcterms:W3CDTF">2013-07-02T13:10:00Z</dcterms:created>
  <dcterms:modified xsi:type="dcterms:W3CDTF">2013-07-18T11:40:00Z</dcterms:modified>
</cp:coreProperties>
</file>