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811798" w:rsidRDefault="00131E24" w:rsidP="00811798">
      <w:pPr>
        <w:autoSpaceDE w:val="0"/>
        <w:ind w:firstLine="720"/>
        <w:rPr>
          <w:b/>
          <w:sz w:val="32"/>
        </w:rPr>
      </w:pPr>
      <w:r w:rsidRPr="00131E24">
        <w:rPr>
          <w:b/>
          <w:sz w:val="32"/>
        </w:rPr>
        <w:t xml:space="preserve">Технологический модуль </w:t>
      </w:r>
      <w:r>
        <w:rPr>
          <w:b/>
          <w:sz w:val="32"/>
        </w:rPr>
        <w:t xml:space="preserve">для нанесения покрытий </w:t>
      </w:r>
    </w:p>
    <w:p w:rsidR="00131E24" w:rsidRPr="00131E24" w:rsidRDefault="00131E24" w:rsidP="00811798">
      <w:pPr>
        <w:autoSpaceDE w:val="0"/>
        <w:ind w:firstLine="720"/>
        <w:rPr>
          <w:b/>
          <w:sz w:val="32"/>
        </w:rPr>
      </w:pPr>
    </w:p>
    <w:bookmarkEnd w:id="0"/>
    <w:bookmarkEnd w:id="1"/>
    <w:p w:rsidR="00CC03BD" w:rsidRDefault="00CC03BD" w:rsidP="00CC03BD">
      <w:pPr>
        <w:spacing w:before="60"/>
      </w:pPr>
      <w:r>
        <w:t>1.1. Обрабатываемые изделия - плоские, цилиндрические и произвольной геометрии длиной до 400 мм (до 2000 мм после модернизации) и поперечными размерами до 40х40 мм. Количество одновременно обрабатываемых изделий – 18.</w:t>
      </w:r>
    </w:p>
    <w:p w:rsidR="00CC03BD" w:rsidRDefault="00CC03BD" w:rsidP="00CC03BD">
      <w:pPr>
        <w:spacing w:before="60"/>
      </w:pPr>
      <w:r>
        <w:t>1.2. Способ нанесения покрытия: ионно-плазменное осаждение в вакууме с использованием высокоскоростной дуальной несбалансированной магнетронной распылительной системы (дуальной НМРС).</w:t>
      </w:r>
    </w:p>
    <w:p w:rsidR="00CC03BD" w:rsidRDefault="00CC03BD" w:rsidP="00CC03BD">
      <w:pPr>
        <w:spacing w:before="60"/>
      </w:pPr>
      <w:r>
        <w:t>1.3 Покрытия, наносимые при помощи дуальной НМРС (минимально необходимый перечень):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11"/>
        <w:gridCol w:w="5936"/>
      </w:tblGrid>
      <w:tr w:rsidR="00CC03BD" w:rsidTr="00CC03BD"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jc w:val="center"/>
              <w:rPr>
                <w:spacing w:val="16"/>
              </w:rPr>
            </w:pPr>
            <w:r>
              <w:rPr>
                <w:spacing w:val="16"/>
              </w:rPr>
              <w:t>Виды покрытий</w:t>
            </w:r>
          </w:p>
        </w:tc>
        <w:tc>
          <w:tcPr>
            <w:tcW w:w="5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jc w:val="center"/>
              <w:rPr>
                <w:spacing w:val="16"/>
              </w:rPr>
            </w:pPr>
            <w:r>
              <w:rPr>
                <w:spacing w:val="16"/>
              </w:rPr>
              <w:t>Химический состав (обозначение) покрытий</w:t>
            </w:r>
          </w:p>
        </w:tc>
      </w:tr>
      <w:tr w:rsidR="00CC03BD" w:rsidRPr="00055893" w:rsidTr="00CC03BD"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r>
              <w:t>Металлические монофазные</w:t>
            </w:r>
          </w:p>
        </w:tc>
        <w:tc>
          <w:tcPr>
            <w:tcW w:w="5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Al,  Cr,  Mo,  Ti,  Si</w:t>
            </w:r>
          </w:p>
        </w:tc>
      </w:tr>
      <w:tr w:rsidR="00CC03BD" w:rsidRPr="00055893" w:rsidTr="00CC03BD"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r>
              <w:t xml:space="preserve">Металлические </w:t>
            </w:r>
            <w:proofErr w:type="spellStart"/>
            <w:r>
              <w:t>нанокомпозитные</w:t>
            </w:r>
            <w:proofErr w:type="spellEnd"/>
          </w:p>
        </w:tc>
        <w:tc>
          <w:tcPr>
            <w:tcW w:w="5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nc-TiAl</w:t>
            </w:r>
            <w:proofErr w:type="spellEnd"/>
            <w:r>
              <w:rPr>
                <w:lang w:val="en-US"/>
              </w:rPr>
              <w:t xml:space="preserve">,  </w:t>
            </w:r>
            <w:proofErr w:type="spellStart"/>
            <w:r>
              <w:rPr>
                <w:lang w:val="en-US"/>
              </w:rPr>
              <w:t>nc-CrAl</w:t>
            </w:r>
            <w:proofErr w:type="spellEnd"/>
            <w:r>
              <w:rPr>
                <w:lang w:val="en-US"/>
              </w:rPr>
              <w:t xml:space="preserve">,  </w:t>
            </w:r>
            <w:proofErr w:type="spellStart"/>
            <w:r>
              <w:rPr>
                <w:lang w:val="en-US"/>
              </w:rPr>
              <w:t>nc-TiAlSi</w:t>
            </w:r>
            <w:proofErr w:type="spellEnd"/>
            <w:r>
              <w:rPr>
                <w:lang w:val="en-US"/>
              </w:rPr>
              <w:t xml:space="preserve">,  </w:t>
            </w:r>
            <w:proofErr w:type="spellStart"/>
            <w:r>
              <w:rPr>
                <w:lang w:val="en-US"/>
              </w:rPr>
              <w:t>FeCrAl</w:t>
            </w:r>
            <w:proofErr w:type="spellEnd"/>
          </w:p>
        </w:tc>
      </w:tr>
      <w:tr w:rsidR="00CC03BD" w:rsidTr="00CC03BD"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r>
              <w:t>Керамические монофазные</w:t>
            </w:r>
          </w:p>
        </w:tc>
        <w:tc>
          <w:tcPr>
            <w:tcW w:w="5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TiO</w:t>
            </w:r>
            <w:proofErr w:type="spellEnd"/>
            <w:r>
              <w:rPr>
                <w:vertAlign w:val="subscript"/>
              </w:rPr>
              <w:t>2</w:t>
            </w:r>
            <w:r>
              <w:rPr>
                <w:lang w:val="en-US"/>
              </w:rPr>
              <w:t xml:space="preserve">, </w:t>
            </w:r>
            <w:r>
              <w:t>ZrO</w:t>
            </w:r>
            <w:r>
              <w:rPr>
                <w:vertAlign w:val="subscript"/>
              </w:rPr>
              <w:t>2</w:t>
            </w:r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TiN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CrN</w:t>
            </w:r>
            <w:proofErr w:type="spellEnd"/>
          </w:p>
        </w:tc>
      </w:tr>
      <w:tr w:rsidR="00CC03BD" w:rsidRPr="00055893" w:rsidTr="00CC03BD"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r>
              <w:t xml:space="preserve">Керамические </w:t>
            </w:r>
            <w:proofErr w:type="spellStart"/>
            <w:r>
              <w:t>нанокомпозитные</w:t>
            </w:r>
            <w:proofErr w:type="spellEnd"/>
          </w:p>
        </w:tc>
        <w:tc>
          <w:tcPr>
            <w:tcW w:w="5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nc-TiAlN</w:t>
            </w:r>
            <w:proofErr w:type="spellEnd"/>
            <w:r>
              <w:rPr>
                <w:lang w:val="en-US"/>
              </w:rPr>
              <w:t>/a-Si</w:t>
            </w:r>
            <w:r>
              <w:rPr>
                <w:vertAlign w:val="subscript"/>
                <w:lang w:val="en-US"/>
              </w:rPr>
              <w:t>3</w:t>
            </w:r>
            <w:r>
              <w:rPr>
                <w:lang w:val="en-US"/>
              </w:rPr>
              <w:t>N</w:t>
            </w:r>
            <w:r>
              <w:rPr>
                <w:vertAlign w:val="subscript"/>
                <w:lang w:val="en-US"/>
              </w:rPr>
              <w:t>4</w:t>
            </w:r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nc-TiN</w:t>
            </w:r>
            <w:proofErr w:type="spellEnd"/>
            <w:r>
              <w:rPr>
                <w:lang w:val="en-US"/>
              </w:rPr>
              <w:t>/</w:t>
            </w:r>
            <w:r>
              <w:t>а</w:t>
            </w: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CN</w:t>
            </w:r>
            <w:r>
              <w:rPr>
                <w:vertAlign w:val="subscript"/>
                <w:lang w:val="en-US"/>
              </w:rPr>
              <w:t>x</w:t>
            </w:r>
            <w:proofErr w:type="spellEnd"/>
            <w:r>
              <w:rPr>
                <w:lang w:val="en-US"/>
              </w:rPr>
              <w:t xml:space="preserve">, </w:t>
            </w:r>
            <w:r>
              <w:rPr>
                <w:lang w:val="en-US"/>
              </w:rPr>
              <w:br/>
              <w:t>nc-TiO</w:t>
            </w:r>
            <w:r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>/nc-Al</w:t>
            </w:r>
            <w:r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>O</w:t>
            </w:r>
            <w:r>
              <w:rPr>
                <w:vertAlign w:val="subscript"/>
                <w:lang w:val="en-US"/>
              </w:rPr>
              <w:t>3</w:t>
            </w:r>
          </w:p>
        </w:tc>
      </w:tr>
    </w:tbl>
    <w:p w:rsidR="00CC03BD" w:rsidRDefault="00CC03BD" w:rsidP="00CC03BD">
      <w:pPr>
        <w:spacing w:before="60"/>
      </w:pPr>
      <w:r>
        <w:t>1.4. Толщина покрытия - до 20 мкм.</w:t>
      </w:r>
    </w:p>
    <w:p w:rsidR="00CC03BD" w:rsidRDefault="00CC03BD" w:rsidP="00CC03BD">
      <w:pPr>
        <w:spacing w:before="60"/>
      </w:pPr>
      <w:r>
        <w:t xml:space="preserve">1.5. </w:t>
      </w:r>
      <w:proofErr w:type="spellStart"/>
      <w:r>
        <w:t>Нанокомпозитные</w:t>
      </w:r>
      <w:proofErr w:type="spellEnd"/>
      <w:r>
        <w:t xml:space="preserve"> покрытия должны обладать следующими свойствами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2"/>
        <w:gridCol w:w="1816"/>
        <w:gridCol w:w="1914"/>
        <w:gridCol w:w="1914"/>
        <w:gridCol w:w="1915"/>
      </w:tblGrid>
      <w:tr w:rsidR="00CC03BD" w:rsidTr="00CC03BD">
        <w:trPr>
          <w:jc w:val="center"/>
        </w:trPr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03BD" w:rsidRDefault="00CC03BD">
            <w:pPr>
              <w:spacing w:before="60"/>
              <w:jc w:val="center"/>
              <w:rPr>
                <w:spacing w:val="16"/>
              </w:rPr>
            </w:pPr>
            <w:r>
              <w:rPr>
                <w:spacing w:val="16"/>
              </w:rPr>
              <w:t>Покрытие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</w:pPr>
            <w:r>
              <w:rPr>
                <w:sz w:val="22"/>
                <w:szCs w:val="22"/>
              </w:rPr>
              <w:t>Н, не менее, ГПа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</w:pPr>
            <w:r>
              <w:rPr>
                <w:sz w:val="22"/>
                <w:szCs w:val="22"/>
              </w:rPr>
              <w:t>Е, не более, ГПа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We, </w:t>
            </w:r>
            <w:r>
              <w:rPr>
                <w:sz w:val="22"/>
                <w:szCs w:val="22"/>
              </w:rPr>
              <w:t>не менее, %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</w:pPr>
            <w:r>
              <w:rPr>
                <w:sz w:val="22"/>
                <w:szCs w:val="22"/>
                <w:lang w:val="en-US"/>
              </w:rPr>
              <w:t>μ</w:t>
            </w:r>
            <w:r>
              <w:rPr>
                <w:sz w:val="22"/>
                <w:szCs w:val="22"/>
              </w:rPr>
              <w:t>, не более</w:t>
            </w:r>
          </w:p>
        </w:tc>
      </w:tr>
      <w:tr w:rsidR="00CC03BD" w:rsidTr="00CC03BD">
        <w:trPr>
          <w:jc w:val="center"/>
        </w:trPr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03BD" w:rsidRDefault="00CC03BD">
            <w:pPr>
              <w:spacing w:before="60"/>
            </w:pPr>
            <w:proofErr w:type="spellStart"/>
            <w:r>
              <w:rPr>
                <w:lang w:val="en-US"/>
              </w:rPr>
              <w:t>nc-TiAl</w:t>
            </w:r>
            <w:proofErr w:type="spellEnd"/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184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49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</w:pPr>
            <w:r>
              <w:t>0,45</w:t>
            </w:r>
          </w:p>
        </w:tc>
      </w:tr>
      <w:tr w:rsidR="00CC03BD" w:rsidTr="00CC03BD">
        <w:trPr>
          <w:jc w:val="center"/>
        </w:trPr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03BD" w:rsidRDefault="00CC03BD">
            <w:pPr>
              <w:spacing w:before="60"/>
            </w:pPr>
            <w:proofErr w:type="spellStart"/>
            <w:r>
              <w:rPr>
                <w:lang w:val="en-US"/>
              </w:rPr>
              <w:t>nc-CrAl</w:t>
            </w:r>
            <w:proofErr w:type="spellEnd"/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t>217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</w:pPr>
            <w:r>
              <w:t>0,50</w:t>
            </w:r>
          </w:p>
        </w:tc>
      </w:tr>
      <w:tr w:rsidR="00CC03BD" w:rsidTr="00CC03BD">
        <w:trPr>
          <w:jc w:val="center"/>
        </w:trPr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03BD" w:rsidRDefault="00CC03BD">
            <w:pPr>
              <w:spacing w:before="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nc-TiAlSi</w:t>
            </w:r>
            <w:proofErr w:type="spellEnd"/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t>183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</w:pPr>
            <w:r>
              <w:t>0,40</w:t>
            </w:r>
          </w:p>
        </w:tc>
      </w:tr>
      <w:tr w:rsidR="00CC03BD" w:rsidTr="00CC03BD">
        <w:trPr>
          <w:jc w:val="center"/>
        </w:trPr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03BD" w:rsidRDefault="00CC03BD">
            <w:pPr>
              <w:spacing w:before="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nc-TiAlN</w:t>
            </w:r>
            <w:proofErr w:type="spellEnd"/>
            <w:r>
              <w:rPr>
                <w:lang w:val="en-US"/>
              </w:rPr>
              <w:t>/a-Si</w:t>
            </w:r>
            <w:r>
              <w:rPr>
                <w:vertAlign w:val="subscript"/>
                <w:lang w:val="en-US"/>
              </w:rPr>
              <w:t>3</w:t>
            </w:r>
            <w:r>
              <w:rPr>
                <w:lang w:val="en-US"/>
              </w:rPr>
              <w:t>N</w:t>
            </w:r>
            <w:r>
              <w:rPr>
                <w:vertAlign w:val="subscript"/>
                <w:lang w:val="en-US"/>
              </w:rPr>
              <w:t>4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t>284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t>0,50</w:t>
            </w:r>
          </w:p>
        </w:tc>
      </w:tr>
      <w:tr w:rsidR="00CC03BD" w:rsidTr="00CC03BD">
        <w:trPr>
          <w:jc w:val="center"/>
        </w:trPr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03BD" w:rsidRDefault="00CC03BD">
            <w:pPr>
              <w:spacing w:before="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nc-TiN</w:t>
            </w:r>
            <w:proofErr w:type="spellEnd"/>
            <w:r>
              <w:rPr>
                <w:lang w:val="en-US"/>
              </w:rPr>
              <w:t>/</w:t>
            </w:r>
            <w:r>
              <w:t>а</w:t>
            </w: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CN</w:t>
            </w:r>
            <w:r>
              <w:rPr>
                <w:vertAlign w:val="subscript"/>
                <w:lang w:val="en-US"/>
              </w:rPr>
              <w:t>x</w:t>
            </w:r>
            <w:proofErr w:type="spellEnd"/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t>314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t>85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t>0,30</w:t>
            </w:r>
          </w:p>
        </w:tc>
      </w:tr>
      <w:tr w:rsidR="00CC03BD" w:rsidTr="00CC03BD">
        <w:trPr>
          <w:jc w:val="center"/>
        </w:trPr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03BD" w:rsidRDefault="00CC03BD">
            <w:pPr>
              <w:spacing w:before="60"/>
              <w:rPr>
                <w:lang w:val="en-US"/>
              </w:rPr>
            </w:pPr>
            <w:r>
              <w:rPr>
                <w:lang w:val="en-US"/>
              </w:rPr>
              <w:t>nc-TiO</w:t>
            </w:r>
            <w:r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>/nc-Al</w:t>
            </w:r>
            <w:r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>O</w:t>
            </w:r>
            <w:r>
              <w:rPr>
                <w:vertAlign w:val="subscript"/>
                <w:lang w:val="en-US"/>
              </w:rPr>
              <w:t>3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t>294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t>62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3BD" w:rsidRDefault="00CC03BD">
            <w:pPr>
              <w:spacing w:before="60"/>
              <w:jc w:val="center"/>
            </w:pPr>
            <w:r>
              <w:t>0,35</w:t>
            </w:r>
          </w:p>
        </w:tc>
      </w:tr>
    </w:tbl>
    <w:p w:rsidR="00CC03BD" w:rsidRDefault="00CC03BD" w:rsidP="00CC03BD">
      <w:pPr>
        <w:pStyle w:val="Style19"/>
        <w:widowControl/>
        <w:tabs>
          <w:tab w:val="left" w:pos="461"/>
        </w:tabs>
        <w:rPr>
          <w:rStyle w:val="FontStyle32"/>
          <w:rFonts w:ascii="Times New Roman" w:hAnsi="Times New Roman" w:cs="Times New Roman"/>
          <w:bCs/>
          <w:sz w:val="20"/>
          <w:szCs w:val="20"/>
        </w:rPr>
      </w:pPr>
    </w:p>
    <w:p w:rsidR="00CC03BD" w:rsidRDefault="00CC03BD" w:rsidP="00CC03BD">
      <w:pPr>
        <w:pStyle w:val="Style19"/>
        <w:widowControl/>
        <w:tabs>
          <w:tab w:val="left" w:pos="461"/>
        </w:tabs>
        <w:jc w:val="both"/>
        <w:rPr>
          <w:spacing w:val="-1"/>
        </w:rPr>
      </w:pPr>
      <w:r>
        <w:rPr>
          <w:rStyle w:val="FontStyle32"/>
          <w:bCs/>
          <w:sz w:val="20"/>
          <w:szCs w:val="20"/>
        </w:rPr>
        <w:t xml:space="preserve">Обозначения: </w:t>
      </w:r>
      <w:r>
        <w:rPr>
          <w:sz w:val="20"/>
          <w:szCs w:val="20"/>
        </w:rPr>
        <w:br/>
      </w:r>
      <w:proofErr w:type="gramStart"/>
      <w:r>
        <w:rPr>
          <w:sz w:val="20"/>
          <w:szCs w:val="20"/>
        </w:rPr>
        <w:t xml:space="preserve">Н – твердость, Е – приведенный модуль упругости, </w:t>
      </w:r>
      <w:r>
        <w:rPr>
          <w:sz w:val="20"/>
          <w:szCs w:val="20"/>
          <w:lang w:val="en-US"/>
        </w:rPr>
        <w:t>We</w:t>
      </w:r>
      <w:r w:rsidRPr="00CC03B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– упругое восстановлении, измеряемые в соответствие с международным стандартом </w:t>
      </w:r>
      <w:r>
        <w:rPr>
          <w:sz w:val="20"/>
          <w:szCs w:val="20"/>
          <w:lang w:val="en-US"/>
        </w:rPr>
        <w:t>ISO</w:t>
      </w:r>
      <w:r>
        <w:rPr>
          <w:sz w:val="20"/>
          <w:szCs w:val="20"/>
        </w:rPr>
        <w:t>/</w:t>
      </w:r>
      <w:r>
        <w:rPr>
          <w:sz w:val="20"/>
          <w:szCs w:val="20"/>
          <w:lang w:val="en-US"/>
        </w:rPr>
        <w:t>CD</w:t>
      </w:r>
      <w:r>
        <w:rPr>
          <w:sz w:val="20"/>
          <w:szCs w:val="20"/>
        </w:rPr>
        <w:t xml:space="preserve"> 14577-4; </w:t>
      </w:r>
      <w:r>
        <w:rPr>
          <w:sz w:val="20"/>
          <w:szCs w:val="20"/>
          <w:lang w:val="en-US"/>
        </w:rPr>
        <w:t>μ</w:t>
      </w:r>
      <w:r>
        <w:rPr>
          <w:sz w:val="20"/>
          <w:szCs w:val="20"/>
        </w:rPr>
        <w:t xml:space="preserve"> – коэффициент сухого трения скольжения покрытия по стали 100</w:t>
      </w:r>
      <w:r>
        <w:rPr>
          <w:sz w:val="20"/>
          <w:szCs w:val="20"/>
          <w:lang w:val="en-US"/>
        </w:rPr>
        <w:t>Cr</w:t>
      </w:r>
      <w:r>
        <w:rPr>
          <w:sz w:val="20"/>
          <w:szCs w:val="20"/>
        </w:rPr>
        <w:t xml:space="preserve">6, измеряемый в соответствие с </w:t>
      </w:r>
      <w:r>
        <w:rPr>
          <w:bCs/>
          <w:spacing w:val="-1"/>
          <w:sz w:val="20"/>
          <w:szCs w:val="20"/>
        </w:rPr>
        <w:t>международными стандартами ASTM G99-959, DIN50324 и ISO 20808.</w:t>
      </w:r>
      <w:proofErr w:type="gramEnd"/>
    </w:p>
    <w:p w:rsidR="00CC03BD" w:rsidRDefault="00CC03BD" w:rsidP="00CC03BD">
      <w:pPr>
        <w:spacing w:before="60"/>
      </w:pPr>
      <w:r>
        <w:t xml:space="preserve">1.7. Материалы подложек для нанесения покрытий - </w:t>
      </w:r>
      <w:proofErr w:type="spellStart"/>
      <w:r>
        <w:t>аустенитные</w:t>
      </w:r>
      <w:proofErr w:type="spellEnd"/>
      <w:r>
        <w:t>/мартенситные стали, жаропрочные, коррозионностойкие стали и сплавы на основе железа, титановые и никелевые сплавы.</w:t>
      </w:r>
    </w:p>
    <w:p w:rsidR="00CC03BD" w:rsidRDefault="00CC03BD" w:rsidP="00CC03BD">
      <w:pPr>
        <w:spacing w:before="60"/>
      </w:pPr>
      <w:r>
        <w:t xml:space="preserve">1.8. Адгезия покрытий с подложками из материалов п.1.7: не ниже </w:t>
      </w:r>
      <w:r>
        <w:rPr>
          <w:lang w:val="en-US"/>
        </w:rPr>
        <w:t>HF</w:t>
      </w:r>
      <w:r>
        <w:t xml:space="preserve">1 (в соответствии с адгезионным тестом </w:t>
      </w:r>
      <w:proofErr w:type="spellStart"/>
      <w:r>
        <w:t>Роквелла</w:t>
      </w:r>
      <w:proofErr w:type="spellEnd"/>
      <w:r>
        <w:t xml:space="preserve"> по стандарту VDI-3198).</w:t>
      </w:r>
    </w:p>
    <w:p w:rsidR="00CC03BD" w:rsidRDefault="00CC03BD" w:rsidP="00CC03BD">
      <w:pPr>
        <w:spacing w:before="60"/>
      </w:pPr>
      <w:r>
        <w:t>1.6. Скорость нанесения покрытия – до 15 мкм/час.</w:t>
      </w:r>
    </w:p>
    <w:p w:rsidR="00CC03BD" w:rsidRDefault="00CC03BD" w:rsidP="00CC03BD">
      <w:pPr>
        <w:spacing w:before="60"/>
      </w:pPr>
      <w:r>
        <w:t>1.8. Способ подготовки поверхности перед нанесением покрытия – очистка в тлеющем разряде.</w:t>
      </w:r>
    </w:p>
    <w:p w:rsidR="00CC03BD" w:rsidRDefault="00CC03BD" w:rsidP="00CC03BD">
      <w:pPr>
        <w:spacing w:before="60"/>
      </w:pPr>
      <w:r>
        <w:lastRenderedPageBreak/>
        <w:t>1.9. Способ активации поверхности под покрытие - ионное травление.</w:t>
      </w:r>
    </w:p>
    <w:p w:rsidR="00CC03BD" w:rsidRDefault="00CC03BD" w:rsidP="00CC03BD">
      <w:pPr>
        <w:spacing w:before="60"/>
      </w:pPr>
      <w:r>
        <w:t>1.11. Предусмотреть подачу на изделия отрицательного потенциала смещения и прогрев поверхности изделий до температуры 600</w:t>
      </w:r>
      <w:r>
        <w:rPr>
          <w:vertAlign w:val="superscript"/>
        </w:rPr>
        <w:t>о</w:t>
      </w:r>
      <w:r>
        <w:t>С.</w:t>
      </w:r>
    </w:p>
    <w:p w:rsidR="00CC03BD" w:rsidRDefault="00CC03BD" w:rsidP="00CC03BD">
      <w:pPr>
        <w:spacing w:before="120" w:after="120"/>
        <w:rPr>
          <w:b/>
        </w:rPr>
      </w:pPr>
    </w:p>
    <w:p w:rsidR="00CC03BD" w:rsidRDefault="00CC03BD" w:rsidP="00CC03BD">
      <w:pPr>
        <w:spacing w:before="120" w:after="120"/>
        <w:rPr>
          <w:b/>
        </w:rPr>
      </w:pPr>
      <w:r>
        <w:rPr>
          <w:b/>
        </w:rPr>
        <w:t>2. Комплект поставки</w:t>
      </w: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659"/>
        <w:gridCol w:w="1135"/>
      </w:tblGrid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tabs>
                <w:tab w:val="left" w:pos="-709"/>
                <w:tab w:val="left" w:pos="-567"/>
                <w:tab w:val="left" w:pos="9072"/>
              </w:tabs>
              <w:spacing w:before="40" w:after="40"/>
              <w:ind w:left="-67" w:firstLine="67"/>
              <w:jc w:val="center"/>
              <w:rPr>
                <w:bCs/>
                <w:spacing w:val="20"/>
              </w:rPr>
            </w:pPr>
            <w:r>
              <w:rPr>
                <w:bCs/>
                <w:spacing w:val="20"/>
              </w:rPr>
              <w:t>№</w:t>
            </w:r>
            <w:proofErr w:type="gramStart"/>
            <w:r>
              <w:rPr>
                <w:bCs/>
                <w:spacing w:val="20"/>
              </w:rPr>
              <w:t>п</w:t>
            </w:r>
            <w:proofErr w:type="gramEnd"/>
            <w:r>
              <w:rPr>
                <w:bCs/>
                <w:spacing w:val="20"/>
              </w:rPr>
              <w:t>/п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tabs>
                <w:tab w:val="left" w:pos="-709"/>
                <w:tab w:val="left" w:pos="-567"/>
                <w:tab w:val="left" w:pos="9072"/>
              </w:tabs>
              <w:spacing w:before="40" w:after="40"/>
              <w:ind w:left="-67" w:firstLine="67"/>
              <w:jc w:val="center"/>
              <w:rPr>
                <w:bCs/>
                <w:spacing w:val="20"/>
              </w:rPr>
            </w:pPr>
            <w:r>
              <w:rPr>
                <w:bCs/>
                <w:spacing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tabs>
                <w:tab w:val="left" w:pos="-709"/>
                <w:tab w:val="left" w:pos="-567"/>
                <w:tab w:val="left" w:pos="9072"/>
              </w:tabs>
              <w:spacing w:before="40" w:after="40"/>
              <w:ind w:left="-67" w:firstLine="67"/>
              <w:jc w:val="center"/>
              <w:rPr>
                <w:bCs/>
                <w:spacing w:val="20"/>
              </w:rPr>
            </w:pPr>
            <w:r>
              <w:rPr>
                <w:bCs/>
                <w:spacing w:val="20"/>
              </w:rPr>
              <w:t>Кол-во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</w:pPr>
            <w:r>
              <w:t>Вакуумная камера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  <w:jc w:val="center"/>
            </w:pPr>
            <w:r>
              <w:t>1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</w:pPr>
            <w:r>
              <w:t>Затвор высоковакуумный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  <w:jc w:val="center"/>
            </w:pPr>
            <w:r>
              <w:t>1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</w:pPr>
            <w:r>
              <w:t xml:space="preserve">Форвакуумный насос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  <w:jc w:val="center"/>
            </w:pPr>
            <w:r>
              <w:t>1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</w:pPr>
            <w:r>
              <w:t>Диффузионный  насос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  <w:jc w:val="center"/>
            </w:pPr>
            <w:r>
              <w:t>1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</w:pPr>
            <w:r>
              <w:t xml:space="preserve">Комплект вакуумной запорной аппаратуры с </w:t>
            </w:r>
            <w:proofErr w:type="spellStart"/>
            <w:r>
              <w:t>пневмоприводами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  <w:jc w:val="center"/>
            </w:pPr>
            <w:r>
              <w:t>1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</w:pPr>
            <w:r>
              <w:t xml:space="preserve">Система подготовки сжатого воздуха с </w:t>
            </w:r>
            <w:proofErr w:type="spellStart"/>
            <w:r>
              <w:t>пневмораспределителями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  <w:jc w:val="center"/>
            </w:pPr>
            <w:r>
              <w:t>1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</w:pPr>
            <w:r>
              <w:t xml:space="preserve">Система охлаждения вакуумного и технологического оборудования с контролем расхода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  <w:jc w:val="center"/>
            </w:pPr>
            <w:r>
              <w:br/>
              <w:t>1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tabs>
                <w:tab w:val="left" w:pos="720"/>
              </w:tabs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</w:pPr>
            <w:r>
              <w:t>Стойка управления с автоматизированной системой на базе промышленного программируемого контроллера, включающего:</w:t>
            </w:r>
          </w:p>
          <w:p w:rsidR="00CC03BD" w:rsidRDefault="00CC03BD">
            <w:pPr>
              <w:widowControl w:val="0"/>
              <w:tabs>
                <w:tab w:val="left" w:pos="720"/>
              </w:tabs>
              <w:overflowPunct w:val="0"/>
              <w:autoSpaceDE w:val="0"/>
              <w:autoSpaceDN w:val="0"/>
              <w:adjustRightInd w:val="0"/>
              <w:spacing w:before="40" w:after="40"/>
              <w:textAlignment w:val="baseline"/>
            </w:pPr>
            <w:r>
              <w:t>- контроллер с устройствами ввода-вывода и отображения информации;</w:t>
            </w:r>
          </w:p>
          <w:p w:rsidR="00CC03BD" w:rsidRDefault="00CC03BD">
            <w:pPr>
              <w:widowControl w:val="0"/>
              <w:tabs>
                <w:tab w:val="left" w:pos="720"/>
              </w:tabs>
              <w:overflowPunct w:val="0"/>
              <w:autoSpaceDE w:val="0"/>
              <w:autoSpaceDN w:val="0"/>
              <w:adjustRightInd w:val="0"/>
              <w:spacing w:before="40" w:after="40"/>
              <w:textAlignment w:val="baseline"/>
            </w:pPr>
            <w:r>
              <w:t>- программное обеспечение контроллера (комплект технологических программ нанесения покрытий)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  <w:jc w:val="center"/>
            </w:pPr>
            <w:r>
              <w:t>1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</w:pPr>
            <w:r>
              <w:t>Персональный компьютер верхнего уровня АСУ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  <w:jc w:val="center"/>
            </w:pPr>
            <w:r>
              <w:t>1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</w:pPr>
            <w:r>
              <w:t>Дуальная НМРС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  <w:jc w:val="center"/>
            </w:pPr>
            <w:r>
              <w:t>1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</w:pPr>
            <w:r>
              <w:t xml:space="preserve">Импульсный блок питания магнетронов с системой </w:t>
            </w:r>
            <w:proofErr w:type="spellStart"/>
            <w:r>
              <w:t>дугогашения</w:t>
            </w:r>
            <w:proofErr w:type="spellEnd"/>
            <w:r>
              <w:t xml:space="preserve"> и возможностью работы в дуальном режиме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>
            <w:pPr>
              <w:spacing w:before="40" w:after="40"/>
              <w:ind w:left="-68" w:firstLine="68"/>
              <w:jc w:val="center"/>
            </w:pPr>
          </w:p>
          <w:p w:rsidR="00CC03BD" w:rsidRDefault="00CC03BD">
            <w:pPr>
              <w:spacing w:before="40" w:after="40"/>
              <w:ind w:left="-68" w:firstLine="68"/>
              <w:jc w:val="center"/>
            </w:pPr>
            <w:r>
              <w:t>2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</w:pPr>
            <w:r>
              <w:t>Ионный источник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</w:pPr>
            <w:r>
              <w:t>Блок питания ионного источника, 3 кВт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</w:pPr>
            <w:r>
              <w:t>Импульсный блок питания потенциала смещения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  <w:jc w:val="center"/>
            </w:pPr>
            <w:r>
              <w:t>1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</w:pPr>
            <w:r>
              <w:t>Ввод вращения оснастки с приводом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  <w:jc w:val="center"/>
            </w:pPr>
            <w:r>
              <w:t>1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</w:pPr>
            <w:r>
              <w:t>Ввод вращения заслонки магнетронов с приводом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  <w:jc w:val="center"/>
            </w:pPr>
            <w:r>
              <w:t>1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</w:pPr>
            <w:r>
              <w:t>Планетарный механизм вращения изделий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  <w:jc w:val="center"/>
            </w:pPr>
            <w:r>
              <w:t>1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</w:pPr>
            <w:r>
              <w:t>Система нагрева подложек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  <w:jc w:val="center"/>
            </w:pPr>
            <w:r>
              <w:t>1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</w:pPr>
            <w:r>
              <w:t xml:space="preserve">Система напуска технологических газов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  <w:jc w:val="center"/>
            </w:pPr>
            <w:r>
              <w:t>1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</w:pPr>
            <w:r>
              <w:t xml:space="preserve">Комплект вакуумных датчиков давления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ind w:left="-67" w:firstLine="67"/>
              <w:jc w:val="center"/>
            </w:pPr>
            <w:r>
              <w:t>1</w:t>
            </w:r>
          </w:p>
        </w:tc>
      </w:tr>
      <w:tr w:rsidR="00CC03BD" w:rsidTr="00CC0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 w:rsidP="00CC03BD">
            <w:pPr>
              <w:numPr>
                <w:ilvl w:val="0"/>
                <w:numId w:val="7"/>
              </w:numPr>
              <w:tabs>
                <w:tab w:val="left" w:pos="720"/>
              </w:tabs>
              <w:suppressAutoHyphens w:val="0"/>
              <w:spacing w:before="40" w:after="40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widowControl w:val="0"/>
              <w:tabs>
                <w:tab w:val="left" w:pos="720"/>
              </w:tabs>
              <w:overflowPunct w:val="0"/>
              <w:autoSpaceDE w:val="0"/>
              <w:autoSpaceDN w:val="0"/>
              <w:adjustRightInd w:val="0"/>
              <w:spacing w:before="40" w:after="40"/>
              <w:ind w:left="-67"/>
              <w:textAlignment w:val="baseline"/>
            </w:pPr>
            <w:r>
              <w:t>Комплект технической документации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jc w:val="center"/>
            </w:pPr>
            <w:r>
              <w:t>1</w:t>
            </w:r>
          </w:p>
        </w:tc>
      </w:tr>
    </w:tbl>
    <w:p w:rsidR="00CC03BD" w:rsidRDefault="00CC03BD" w:rsidP="00CC03BD">
      <w:pPr>
        <w:shd w:val="clear" w:color="auto" w:fill="FFFFFF"/>
        <w:spacing w:before="120" w:after="120"/>
        <w:rPr>
          <w:b/>
        </w:rPr>
      </w:pPr>
    </w:p>
    <w:p w:rsidR="00CC03BD" w:rsidRDefault="00CC03BD" w:rsidP="00CC03BD">
      <w:pPr>
        <w:shd w:val="clear" w:color="auto" w:fill="FFFFFF"/>
        <w:spacing w:before="120" w:after="120"/>
        <w:rPr>
          <w:b/>
        </w:rPr>
      </w:pPr>
      <w:r>
        <w:rPr>
          <w:b/>
        </w:rPr>
        <w:t>3. Технические характеристики</w:t>
      </w:r>
    </w:p>
    <w:tbl>
      <w:tblPr>
        <w:tblW w:w="96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60" w:firstRow="1" w:lastRow="1" w:firstColumn="0" w:lastColumn="0" w:noHBand="0" w:noVBand="0"/>
      </w:tblPr>
      <w:tblGrid>
        <w:gridCol w:w="8360"/>
        <w:gridCol w:w="1315"/>
      </w:tblGrid>
      <w:tr w:rsidR="00CC03BD" w:rsidTr="00CC03BD">
        <w:trPr>
          <w:trHeight w:val="125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</w:pPr>
            <w:r>
              <w:t xml:space="preserve">Внутренний размер рабочей камеры (диаметр× высота), не менее, </w:t>
            </w:r>
            <w:proofErr w:type="gramStart"/>
            <w:r>
              <w:t>мм</w:t>
            </w:r>
            <w:proofErr w:type="gram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BD" w:rsidRDefault="00CC03BD">
            <w:pPr>
              <w:spacing w:before="40" w:after="40"/>
              <w:jc w:val="center"/>
            </w:pPr>
            <w:r>
              <w:t>600×700</w:t>
            </w:r>
          </w:p>
        </w:tc>
      </w:tr>
      <w:tr w:rsidR="00CC03BD" w:rsidTr="00CC03BD">
        <w:trPr>
          <w:trHeight w:val="125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</w:pPr>
            <w:r>
              <w:t xml:space="preserve">Размер эффективной зоны нанесения покрытия (диаметр × высота), не менее, </w:t>
            </w:r>
            <w:proofErr w:type="gramStart"/>
            <w:r>
              <w:t>мм</w:t>
            </w:r>
            <w:proofErr w:type="gram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BD" w:rsidRDefault="00CC03BD">
            <w:pPr>
              <w:spacing w:before="40" w:after="40"/>
              <w:jc w:val="center"/>
            </w:pPr>
            <w:r>
              <w:t>300×400</w:t>
            </w:r>
          </w:p>
        </w:tc>
      </w:tr>
      <w:tr w:rsidR="00CC03BD" w:rsidTr="00CC03BD">
        <w:trPr>
          <w:trHeight w:val="125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</w:pPr>
            <w:r>
              <w:t>Предельное значение вакуума в рабочей камере, не более, не более, Па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BD" w:rsidRDefault="00CC03BD">
            <w:pPr>
              <w:spacing w:before="40" w:after="40"/>
              <w:jc w:val="center"/>
              <w:rPr>
                <w:vertAlign w:val="superscript"/>
              </w:rPr>
            </w:pPr>
            <w:r>
              <w:t>3×10</w:t>
            </w:r>
            <w:r>
              <w:rPr>
                <w:vertAlign w:val="superscript"/>
              </w:rPr>
              <w:t>-3</w:t>
            </w:r>
          </w:p>
        </w:tc>
      </w:tr>
      <w:tr w:rsidR="00CC03BD" w:rsidTr="00CC03BD">
        <w:trPr>
          <w:trHeight w:val="125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</w:pPr>
            <w:r>
              <w:t>Время достижения в камере давления 6×10</w:t>
            </w:r>
            <w:r>
              <w:rPr>
                <w:vertAlign w:val="superscript"/>
              </w:rPr>
              <w:t>-3</w:t>
            </w:r>
            <w:r>
              <w:t xml:space="preserve"> Па без прогрева рабочего объёма камеры при рабочем режиме диффузионного насоса с начала откачки воздуха из камеры, мин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BD" w:rsidRDefault="00CC03BD">
            <w:pPr>
              <w:spacing w:before="40" w:after="40"/>
              <w:jc w:val="center"/>
            </w:pPr>
            <w:r>
              <w:t>20</w:t>
            </w:r>
          </w:p>
        </w:tc>
      </w:tr>
      <w:tr w:rsidR="00CC03BD" w:rsidTr="00CC03BD">
        <w:trPr>
          <w:trHeight w:val="125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</w:pPr>
            <w:r>
              <w:lastRenderedPageBreak/>
              <w:t xml:space="preserve">Потенциал смещения, подаваемый на изделия (регулируемый), </w:t>
            </w:r>
            <w:proofErr w:type="gramStart"/>
            <w:r>
              <w:t>В</w:t>
            </w:r>
            <w:proofErr w:type="gram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BD" w:rsidRDefault="00CC03BD">
            <w:pPr>
              <w:spacing w:before="40" w:after="40"/>
              <w:jc w:val="center"/>
            </w:pPr>
            <w:r>
              <w:t>10 ÷ 1200</w:t>
            </w:r>
          </w:p>
        </w:tc>
      </w:tr>
      <w:tr w:rsidR="00CC03BD" w:rsidTr="00CC03BD">
        <w:trPr>
          <w:trHeight w:val="125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</w:pPr>
            <w:r>
              <w:t>Максимальный ток смещений на изделиях:</w:t>
            </w:r>
          </w:p>
          <w:p w:rsidR="00CC03BD" w:rsidRDefault="00CC03BD">
            <w:pPr>
              <w:spacing w:before="40" w:after="40"/>
            </w:pPr>
            <w:r>
              <w:t>- в диапазоне от 0 до 150</w:t>
            </w:r>
            <w:proofErr w:type="gramStart"/>
            <w:r>
              <w:t xml:space="preserve"> В</w:t>
            </w:r>
            <w:proofErr w:type="gramEnd"/>
            <w:r>
              <w:t>, не менее,  А</w:t>
            </w:r>
          </w:p>
          <w:p w:rsidR="00CC03BD" w:rsidRDefault="00CC03BD">
            <w:pPr>
              <w:spacing w:before="40" w:after="40"/>
            </w:pPr>
            <w:r>
              <w:t>- в диапазоне от 650 до 1200</w:t>
            </w:r>
            <w:proofErr w:type="gramStart"/>
            <w:r>
              <w:t xml:space="preserve"> В</w:t>
            </w:r>
            <w:proofErr w:type="gramEnd"/>
            <w:r>
              <w:t>, не менее,   А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>
            <w:pPr>
              <w:spacing w:before="40" w:after="40"/>
              <w:jc w:val="center"/>
            </w:pPr>
          </w:p>
          <w:p w:rsidR="00CC03BD" w:rsidRDefault="00CC03BD">
            <w:pPr>
              <w:spacing w:before="40" w:after="40"/>
              <w:jc w:val="center"/>
            </w:pPr>
            <w:r>
              <w:t>20</w:t>
            </w:r>
          </w:p>
          <w:p w:rsidR="00CC03BD" w:rsidRDefault="00CC03BD">
            <w:pPr>
              <w:spacing w:before="40" w:after="40"/>
              <w:jc w:val="center"/>
            </w:pPr>
            <w:r>
              <w:t>3</w:t>
            </w:r>
          </w:p>
        </w:tc>
      </w:tr>
      <w:tr w:rsidR="00CC03BD" w:rsidTr="00CC03BD">
        <w:trPr>
          <w:trHeight w:val="125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</w:pPr>
            <w:r>
              <w:t>Ток разряда каждого магнетрона (регулируемый), А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BD" w:rsidRDefault="00CC03BD">
            <w:pPr>
              <w:spacing w:before="40" w:after="40"/>
              <w:jc w:val="center"/>
            </w:pPr>
            <w:r>
              <w:t>1 ÷ 20</w:t>
            </w:r>
          </w:p>
        </w:tc>
      </w:tr>
      <w:tr w:rsidR="00CC03BD" w:rsidTr="00CC03BD">
        <w:trPr>
          <w:trHeight w:val="125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</w:pPr>
            <w:r>
              <w:t>Подача рабочих газов (азот, метан, аргон) с точностью поддержания:</w:t>
            </w:r>
          </w:p>
          <w:p w:rsidR="00CC03BD" w:rsidRDefault="00CC03BD">
            <w:pPr>
              <w:spacing w:before="40" w:after="40"/>
            </w:pPr>
            <w:r>
              <w:t xml:space="preserve">- заданного расхода </w:t>
            </w:r>
            <w:proofErr w:type="gramStart"/>
            <w:r>
              <w:t>в</w:t>
            </w:r>
            <w:proofErr w:type="gramEnd"/>
            <w:r>
              <w:t xml:space="preserve"> % не более</w:t>
            </w:r>
          </w:p>
          <w:p w:rsidR="00CC03BD" w:rsidRDefault="00CC03BD">
            <w:pPr>
              <w:spacing w:before="40" w:after="40"/>
            </w:pPr>
            <w:r>
              <w:t xml:space="preserve">- заданного давления </w:t>
            </w:r>
            <w:proofErr w:type="gramStart"/>
            <w:r>
              <w:t>в</w:t>
            </w:r>
            <w:proofErr w:type="gramEnd"/>
            <w:r>
              <w:t xml:space="preserve"> % не более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>
            <w:pPr>
              <w:spacing w:before="40" w:after="40"/>
              <w:jc w:val="center"/>
            </w:pPr>
          </w:p>
          <w:p w:rsidR="00CC03BD" w:rsidRDefault="00CC03BD">
            <w:pPr>
              <w:spacing w:before="40" w:after="40"/>
              <w:jc w:val="center"/>
            </w:pPr>
            <w:r>
              <w:t>1,2</w:t>
            </w:r>
          </w:p>
          <w:p w:rsidR="00CC03BD" w:rsidRDefault="00CC03BD">
            <w:pPr>
              <w:spacing w:before="40" w:after="40"/>
              <w:jc w:val="center"/>
            </w:pPr>
            <w:r>
              <w:t>5</w:t>
            </w:r>
          </w:p>
        </w:tc>
      </w:tr>
      <w:tr w:rsidR="00CC03BD" w:rsidTr="00CC03BD">
        <w:trPr>
          <w:trHeight w:val="125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rPr>
                <w:vertAlign w:val="superscript"/>
              </w:rPr>
            </w:pPr>
            <w:r>
              <w:t>Контролируемый диапазон частоты вращения планетарного механизма, мин</w:t>
            </w:r>
            <w:r>
              <w:rPr>
                <w:vertAlign w:val="superscript"/>
              </w:rPr>
              <w:t>-1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BD" w:rsidRDefault="00CC03BD">
            <w:pPr>
              <w:spacing w:before="40" w:after="40"/>
              <w:jc w:val="center"/>
            </w:pPr>
            <w:r>
              <w:t>0 ÷ 40</w:t>
            </w:r>
          </w:p>
        </w:tc>
      </w:tr>
      <w:tr w:rsidR="00CC03BD" w:rsidTr="00CC03BD">
        <w:trPr>
          <w:trHeight w:val="125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</w:pPr>
            <w:r>
              <w:t>Мощность вакуумной установки, кВт:</w:t>
            </w:r>
          </w:p>
          <w:p w:rsidR="00CC03BD" w:rsidRDefault="00CC03BD">
            <w:pPr>
              <w:spacing w:before="40" w:after="40"/>
            </w:pPr>
            <w:r>
              <w:t>- в режиме откачки, не более</w:t>
            </w:r>
          </w:p>
          <w:p w:rsidR="00CC03BD" w:rsidRDefault="00CC03BD">
            <w:pPr>
              <w:spacing w:before="40" w:after="40"/>
            </w:pPr>
            <w:r>
              <w:t>- в режиме напыления, не более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BD" w:rsidRDefault="00CC03BD">
            <w:pPr>
              <w:spacing w:before="40" w:after="40"/>
              <w:jc w:val="center"/>
            </w:pPr>
          </w:p>
          <w:p w:rsidR="00CC03BD" w:rsidRDefault="00CC03BD">
            <w:pPr>
              <w:spacing w:before="40" w:after="40"/>
              <w:jc w:val="center"/>
            </w:pPr>
            <w:r>
              <w:t>10</w:t>
            </w:r>
          </w:p>
          <w:p w:rsidR="00CC03BD" w:rsidRDefault="00CC03BD">
            <w:pPr>
              <w:spacing w:before="40" w:after="40"/>
              <w:jc w:val="center"/>
            </w:pPr>
            <w:r>
              <w:t>40</w:t>
            </w:r>
          </w:p>
        </w:tc>
      </w:tr>
      <w:tr w:rsidR="00CC03BD" w:rsidTr="00CC03BD">
        <w:trPr>
          <w:trHeight w:val="623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</w:pPr>
            <w:r>
              <w:t>Расход холодной водопроводной воды в системе охлаждения в режиме напыления при давлении на входе от 3 до 5 кгс/см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 м</w:t>
            </w:r>
            <w:r>
              <w:rPr>
                <w:vertAlign w:val="superscript"/>
              </w:rPr>
              <w:t>3</w:t>
            </w:r>
            <w:r>
              <w:t>/час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3BD" w:rsidRDefault="00CC03BD">
            <w:pPr>
              <w:spacing w:before="40" w:after="40"/>
              <w:jc w:val="center"/>
            </w:pPr>
          </w:p>
          <w:p w:rsidR="00CC03BD" w:rsidRDefault="00CC03BD">
            <w:pPr>
              <w:spacing w:before="40" w:after="40"/>
              <w:jc w:val="center"/>
              <w:rPr>
                <w:lang w:val="en-US"/>
              </w:rPr>
            </w:pPr>
            <w:r>
              <w:t>1,2</w:t>
            </w:r>
          </w:p>
        </w:tc>
      </w:tr>
      <w:tr w:rsidR="00CC03BD" w:rsidTr="00CC03BD">
        <w:trPr>
          <w:trHeight w:val="125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</w:pPr>
            <w:r>
              <w:t xml:space="preserve">Общая масса установки, не более, </w:t>
            </w:r>
            <w:proofErr w:type="gramStart"/>
            <w:r>
              <w:t>кг</w:t>
            </w:r>
            <w:proofErr w:type="gram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BD" w:rsidRDefault="00CC03BD">
            <w:pPr>
              <w:spacing w:before="40" w:after="40"/>
              <w:jc w:val="center"/>
            </w:pPr>
            <w:r>
              <w:t>1200</w:t>
            </w:r>
          </w:p>
        </w:tc>
      </w:tr>
      <w:tr w:rsidR="00CC03BD" w:rsidTr="00CC03BD">
        <w:trPr>
          <w:trHeight w:val="125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</w:pPr>
            <w:r>
              <w:t xml:space="preserve">Высота вакуумной установки, не более, </w:t>
            </w:r>
            <w:proofErr w:type="gramStart"/>
            <w:r>
              <w:t>мм</w:t>
            </w:r>
            <w:proofErr w:type="gram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BD" w:rsidRDefault="00CC03BD">
            <w:pPr>
              <w:spacing w:before="40" w:after="40"/>
              <w:jc w:val="center"/>
            </w:pPr>
            <w:r>
              <w:t>2100</w:t>
            </w:r>
          </w:p>
        </w:tc>
      </w:tr>
      <w:tr w:rsidR="00CC03BD" w:rsidTr="00CC03BD">
        <w:trPr>
          <w:trHeight w:val="125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  <w:rPr>
                <w:vertAlign w:val="superscript"/>
              </w:rPr>
            </w:pPr>
            <w:r>
              <w:t>Общая площадь, занимаемая вакуумной установкой, не более,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BD" w:rsidRDefault="00CC03BD">
            <w:pPr>
              <w:spacing w:before="40" w:after="40"/>
              <w:jc w:val="center"/>
            </w:pPr>
            <w:r>
              <w:t>9</w:t>
            </w:r>
          </w:p>
        </w:tc>
      </w:tr>
      <w:tr w:rsidR="00CC03BD" w:rsidTr="00CC03BD">
        <w:trPr>
          <w:trHeight w:val="125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BD" w:rsidRDefault="00CC03BD">
            <w:pPr>
              <w:spacing w:before="40" w:after="40"/>
            </w:pPr>
            <w:r>
              <w:t>Установленный срок службы до капитального ремонта при 2-х сменной работе при соблюдении правил эксплуатации, лет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BD" w:rsidRDefault="00CC03BD">
            <w:pPr>
              <w:spacing w:before="40" w:after="40"/>
              <w:jc w:val="center"/>
            </w:pPr>
            <w:r>
              <w:t>8</w:t>
            </w:r>
          </w:p>
        </w:tc>
      </w:tr>
    </w:tbl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CC03BD">
        <w:rPr>
          <w:color w:val="000000"/>
        </w:rPr>
        <w:t xml:space="preserve">латы таможенных пошлин, налогов, </w:t>
      </w:r>
      <w:r w:rsidR="00CC03BD">
        <w:t>проведение монтажных и пуско-наладочных работ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</w:pPr>
      <w:r>
        <w:t xml:space="preserve">Поставка продукции в срок </w:t>
      </w:r>
      <w:r w:rsidR="00B028C7">
        <w:t xml:space="preserve">– </w:t>
      </w:r>
      <w:r w:rsidR="003A669A">
        <w:t xml:space="preserve"> до </w:t>
      </w:r>
      <w:r w:rsidR="00CC03BD">
        <w:t>14 декабря</w:t>
      </w:r>
      <w:r w:rsidR="00DF6A1C">
        <w:t xml:space="preserve"> </w:t>
      </w:r>
      <w:r w:rsidR="003A669A">
        <w:t>2012г.</w:t>
      </w:r>
    </w:p>
    <w:p w:rsidR="00CC03BD" w:rsidRDefault="00CC03BD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>Проведение монтажных и пуско-наладочных работ в течение 1-ой недели после подписания накладной ТОРГ-12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9A3D50">
        <w:rPr>
          <w:color w:val="000000"/>
          <w:sz w:val="24"/>
          <w:szCs w:val="24"/>
        </w:rPr>
        <w:t>Поставляемое</w:t>
      </w:r>
      <w:r w:rsidR="00CE01ED">
        <w:rPr>
          <w:color w:val="000000"/>
          <w:sz w:val="24"/>
          <w:szCs w:val="24"/>
        </w:rPr>
        <w:t xml:space="preserve"> </w:t>
      </w:r>
      <w:r w:rsidR="009A3D50">
        <w:rPr>
          <w:color w:val="000000"/>
          <w:sz w:val="24"/>
          <w:szCs w:val="24"/>
        </w:rPr>
        <w:t>оборудование</w:t>
      </w:r>
      <w:r w:rsidR="00F27D56" w:rsidRPr="00F27D56">
        <w:rPr>
          <w:color w:val="000000"/>
          <w:sz w:val="24"/>
          <w:szCs w:val="24"/>
        </w:rPr>
        <w:t xml:space="preserve"> долж</w:t>
      </w:r>
      <w:r w:rsidR="00CE01ED">
        <w:rPr>
          <w:color w:val="000000"/>
          <w:sz w:val="24"/>
          <w:szCs w:val="24"/>
        </w:rPr>
        <w:t>н</w:t>
      </w:r>
      <w:r w:rsidR="009A3D50">
        <w:rPr>
          <w:color w:val="000000"/>
          <w:sz w:val="24"/>
          <w:szCs w:val="24"/>
        </w:rPr>
        <w:t>о</w:t>
      </w:r>
      <w:r w:rsidR="00CE01ED">
        <w:rPr>
          <w:color w:val="000000"/>
          <w:sz w:val="24"/>
          <w:szCs w:val="24"/>
        </w:rPr>
        <w:t xml:space="preserve"> быть обеспечен</w:t>
      </w:r>
      <w:r w:rsidR="009A3D50">
        <w:rPr>
          <w:color w:val="000000"/>
          <w:sz w:val="24"/>
          <w:szCs w:val="24"/>
        </w:rPr>
        <w:t>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</w:t>
      </w:r>
      <w:r w:rsidR="00CE01ED">
        <w:rPr>
          <w:color w:val="000000"/>
          <w:sz w:val="24"/>
          <w:szCs w:val="24"/>
        </w:rPr>
        <w:t>ции, установленных Производителя</w:t>
      </w:r>
      <w:r w:rsidR="00F27D56" w:rsidRPr="00F27D56">
        <w:rPr>
          <w:color w:val="000000"/>
          <w:sz w:val="24"/>
          <w:szCs w:val="24"/>
        </w:rPr>
        <w:t>м</w:t>
      </w:r>
      <w:r w:rsidR="00E93030">
        <w:rPr>
          <w:color w:val="000000"/>
          <w:sz w:val="24"/>
          <w:szCs w:val="24"/>
        </w:rPr>
        <w:t>и</w:t>
      </w:r>
      <w:r w:rsidR="009A3D50">
        <w:rPr>
          <w:color w:val="000000"/>
          <w:sz w:val="24"/>
          <w:szCs w:val="24"/>
        </w:rPr>
        <w:t xml:space="preserve"> </w:t>
      </w:r>
      <w:r w:rsidR="00CE01ED">
        <w:rPr>
          <w:color w:val="000000"/>
          <w:sz w:val="24"/>
          <w:szCs w:val="24"/>
        </w:rPr>
        <w:t>о</w:t>
      </w:r>
      <w:r w:rsidR="00F27D56" w:rsidRPr="00F27D56">
        <w:rPr>
          <w:color w:val="000000"/>
          <w:sz w:val="24"/>
          <w:szCs w:val="24"/>
        </w:rPr>
        <w:t xml:space="preserve">борудования. Гарантийное обслуживание должно осуществляться не менее 12 месяцев с момента подписания </w:t>
      </w:r>
      <w:r w:rsidR="00E93030">
        <w:rPr>
          <w:color w:val="000000"/>
          <w:sz w:val="24"/>
          <w:szCs w:val="24"/>
        </w:rPr>
        <w:t>акта поведения монтажных и пуско-наладочных работ</w:t>
      </w:r>
      <w:r w:rsidR="00983706">
        <w:rPr>
          <w:color w:val="000000"/>
          <w:sz w:val="24"/>
          <w:szCs w:val="24"/>
        </w:rPr>
        <w:t>. Наличие на территории Российской Федерации сервисного центра для осуществления гарантийного и послегарантийного обслуживания поставляемого</w:t>
      </w:r>
      <w:r w:rsidR="00CE01ED">
        <w:rPr>
          <w:color w:val="000000"/>
          <w:sz w:val="24"/>
          <w:szCs w:val="24"/>
        </w:rPr>
        <w:t xml:space="preserve"> </w:t>
      </w:r>
      <w:r w:rsidR="00983706">
        <w:rPr>
          <w:color w:val="000000"/>
          <w:sz w:val="24"/>
          <w:szCs w:val="24"/>
        </w:rPr>
        <w:t>оборудования и проведения монтажных и пуско-наладочных работ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E93030">
        <w:rPr>
          <w:rFonts w:eastAsia="SimSun" w:cs="Tahoma"/>
          <w:b/>
          <w:kern w:val="1"/>
          <w:lang w:eastAsia="hi-IN" w:bidi="hi-IN"/>
        </w:rPr>
        <w:t xml:space="preserve"> </w:t>
      </w:r>
      <w:r w:rsidR="00E93030" w:rsidRPr="00E93030">
        <w:rPr>
          <w:rFonts w:eastAsia="SimSun" w:cs="Tahoma"/>
          <w:kern w:val="1"/>
          <w:lang w:eastAsia="hi-IN" w:bidi="hi-IN"/>
        </w:rPr>
        <w:t>О</w:t>
      </w:r>
      <w:r w:rsidR="002441ED">
        <w:t>борудование</w:t>
      </w:r>
      <w:r w:rsidR="00F27D56" w:rsidRPr="008A4C58">
        <w:t xml:space="preserve"> поставляется в специальной упаковке, соответствующей стандартам</w:t>
      </w:r>
      <w:r w:rsidR="005A73B6">
        <w:t xml:space="preserve"> </w:t>
      </w:r>
      <w:r w:rsidR="005A73B6">
        <w:rPr>
          <w:lang w:val="en-US"/>
        </w:rPr>
        <w:t>ISO</w:t>
      </w:r>
      <w:r w:rsidR="00F27D56" w:rsidRPr="008A4C58">
        <w:t>,</w:t>
      </w:r>
      <w:r w:rsidR="005A73B6">
        <w:t xml:space="preserve"> ГОСТ,</w:t>
      </w:r>
      <w:r w:rsidR="00F27D56" w:rsidRPr="008A4C58">
        <w:t xml:space="preserve">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E93030" w:rsidP="00F27D56">
      <w:pPr>
        <w:widowControl w:val="0"/>
        <w:autoSpaceDE w:val="0"/>
        <w:spacing w:after="0"/>
      </w:pPr>
      <w:r>
        <w:rPr>
          <w:color w:val="000000"/>
        </w:rPr>
        <w:lastRenderedPageBreak/>
        <w:t>О</w:t>
      </w:r>
      <w:r w:rsidR="002441ED">
        <w:rPr>
          <w:color w:val="000000"/>
        </w:rPr>
        <w:t>борудование</w:t>
      </w:r>
      <w:r w:rsidR="00F27D56">
        <w:t xml:space="preserve"> должно быть обеспечено комплектом документации, включающим инструкции по эксплуатации, паспорт</w:t>
      </w:r>
      <w:r w:rsidR="00AB2D2E">
        <w:t>а</w:t>
      </w:r>
      <w:r w:rsidR="00F27D56">
        <w:t xml:space="preserve"> и другую документацию, поставляемую </w:t>
      </w:r>
      <w:r w:rsidR="00AB2D2E">
        <w:t>фирмами производителя</w:t>
      </w:r>
      <w:r w:rsidR="00F27D56">
        <w:t>м</w:t>
      </w:r>
      <w:r w:rsidR="00AB2D2E">
        <w:t>и</w:t>
      </w:r>
      <w:r w:rsidR="00F27D56">
        <w:t>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055893">
        <w:rPr>
          <w:rFonts w:eastAsia="SimSun" w:cs="Tahoma"/>
          <w:kern w:val="1"/>
          <w:lang w:eastAsia="hi-IN" w:bidi="hi-IN"/>
        </w:rPr>
        <w:t>8 000 000</w:t>
      </w:r>
      <w:bookmarkStart w:id="2" w:name="_GoBack"/>
      <w:bookmarkEnd w:id="2"/>
      <w:r w:rsidR="00F27D56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Pr="00CC03BD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CC03BD" w:rsidRPr="00CC03BD">
        <w:rPr>
          <w:rFonts w:eastAsia="SimSun" w:cs="Tahoma"/>
          <w:b/>
          <w:kern w:val="1"/>
          <w:lang w:eastAsia="hi-IN" w:bidi="hi-IN"/>
        </w:rPr>
        <w:t xml:space="preserve"> </w:t>
      </w:r>
      <w:r w:rsidR="00CC03BD" w:rsidRPr="00CC03BD">
        <w:rPr>
          <w:rFonts w:eastAsia="SimSun" w:cs="Tahoma"/>
          <w:kern w:val="1"/>
          <w:lang w:eastAsia="hi-IN" w:bidi="hi-IN"/>
        </w:rPr>
        <w:t>30%</w:t>
      </w:r>
      <w:r w:rsidR="00CC03BD" w:rsidRPr="00CC03BD">
        <w:rPr>
          <w:rFonts w:eastAsia="SimSun" w:cs="Tahoma"/>
          <w:b/>
          <w:kern w:val="1"/>
          <w:lang w:eastAsia="hi-IN" w:bidi="hi-IN"/>
        </w:rPr>
        <w:t xml:space="preserve"> </w:t>
      </w:r>
      <w:r w:rsidR="00CC03BD" w:rsidRPr="002441ED">
        <w:t>в течение 10 (десяти) бан</w:t>
      </w:r>
      <w:r w:rsidR="00CC03BD">
        <w:t>ковских дней от даты подписания</w:t>
      </w:r>
      <w:r w:rsidR="00CC03BD" w:rsidRPr="00CC03BD">
        <w:t xml:space="preserve"> </w:t>
      </w:r>
      <w:r w:rsidR="00CC03BD">
        <w:t>договора</w:t>
      </w:r>
    </w:p>
    <w:p w:rsidR="00C837D3" w:rsidRDefault="00CC03BD" w:rsidP="00F27D56">
      <w:pPr>
        <w:pStyle w:val="21"/>
        <w:autoSpaceDE w:val="0"/>
        <w:spacing w:line="36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2441ED" w:rsidRPr="002441ED">
        <w:rPr>
          <w:sz w:val="24"/>
          <w:szCs w:val="24"/>
        </w:rPr>
        <w:t>0% в течение 10 (десяти) бан</w:t>
      </w:r>
      <w:r w:rsidR="002441ED">
        <w:rPr>
          <w:sz w:val="24"/>
          <w:szCs w:val="24"/>
        </w:rPr>
        <w:t>ковских дней от даты подписания</w:t>
      </w:r>
      <w:r w:rsidR="002441ED" w:rsidRPr="002441ED">
        <w:rPr>
          <w:sz w:val="24"/>
          <w:szCs w:val="24"/>
        </w:rPr>
        <w:t xml:space="preserve"> накладной ТОРГ-12.</w:t>
      </w:r>
    </w:p>
    <w:p w:rsidR="00CC03BD" w:rsidRPr="002441ED" w:rsidRDefault="00CC03BD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10% </w:t>
      </w:r>
      <w:r w:rsidRPr="002441ED">
        <w:rPr>
          <w:sz w:val="24"/>
          <w:szCs w:val="24"/>
        </w:rPr>
        <w:t>в течение 10 (десяти) бан</w:t>
      </w:r>
      <w:r>
        <w:rPr>
          <w:sz w:val="24"/>
          <w:szCs w:val="24"/>
        </w:rPr>
        <w:t>ковских дней от даты подписания Акта проведения монтажных и пуско-наладочных работ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 w:rsidSect="00B028C7">
      <w:pgSz w:w="11906" w:h="16838"/>
      <w:pgMar w:top="1134" w:right="1418" w:bottom="709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303B57"/>
    <w:multiLevelType w:val="hybridMultilevel"/>
    <w:tmpl w:val="192036FE"/>
    <w:lvl w:ilvl="0" w:tplc="25AA72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F12724"/>
    <w:multiLevelType w:val="hybridMultilevel"/>
    <w:tmpl w:val="1B5E6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350FDB"/>
    <w:multiLevelType w:val="hybridMultilevel"/>
    <w:tmpl w:val="7F929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545EFC"/>
    <w:multiLevelType w:val="hybridMultilevel"/>
    <w:tmpl w:val="8D184370"/>
    <w:lvl w:ilvl="0" w:tplc="0419000F">
      <w:start w:val="1"/>
      <w:numFmt w:val="decimal"/>
      <w:lvlText w:val="%1."/>
      <w:lvlJc w:val="left"/>
      <w:pPr>
        <w:tabs>
          <w:tab w:val="num" w:pos="612"/>
        </w:tabs>
        <w:ind w:left="61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5">
    <w:nsid w:val="6EE5200E"/>
    <w:multiLevelType w:val="multilevel"/>
    <w:tmpl w:val="443E91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2.%3."/>
      <w:lvlJc w:val="left"/>
      <w:pPr>
        <w:ind w:left="1497" w:hanging="504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7D2B24B0"/>
    <w:multiLevelType w:val="hybridMultilevel"/>
    <w:tmpl w:val="54B64484"/>
    <w:lvl w:ilvl="0" w:tplc="3482CF04">
      <w:start w:val="1"/>
      <w:numFmt w:val="decimal"/>
      <w:lvlText w:val="%1."/>
      <w:lvlJc w:val="left"/>
      <w:pPr>
        <w:ind w:left="1711" w:hanging="100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55893"/>
    <w:rsid w:val="000C657F"/>
    <w:rsid w:val="00131E24"/>
    <w:rsid w:val="001E3BCA"/>
    <w:rsid w:val="002441ED"/>
    <w:rsid w:val="002E6227"/>
    <w:rsid w:val="003A669A"/>
    <w:rsid w:val="005A73B6"/>
    <w:rsid w:val="005C5979"/>
    <w:rsid w:val="00811798"/>
    <w:rsid w:val="00983706"/>
    <w:rsid w:val="009A3D50"/>
    <w:rsid w:val="00AB2D2E"/>
    <w:rsid w:val="00AB563F"/>
    <w:rsid w:val="00B028C7"/>
    <w:rsid w:val="00C837D3"/>
    <w:rsid w:val="00CC03BD"/>
    <w:rsid w:val="00CE01ED"/>
    <w:rsid w:val="00CE22F6"/>
    <w:rsid w:val="00D42CF8"/>
    <w:rsid w:val="00DF6A1C"/>
    <w:rsid w:val="00E53CF8"/>
    <w:rsid w:val="00E6210D"/>
    <w:rsid w:val="00E93030"/>
    <w:rsid w:val="00E96A9D"/>
    <w:rsid w:val="00F27D56"/>
    <w:rsid w:val="00F42DF0"/>
    <w:rsid w:val="00F63665"/>
    <w:rsid w:val="00F82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uiPriority w:val="59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semiHidden/>
    <w:unhideWhenUsed/>
    <w:rsid w:val="00B028C7"/>
    <w:pPr>
      <w:tabs>
        <w:tab w:val="center" w:pos="4677"/>
        <w:tab w:val="right" w:pos="9355"/>
      </w:tabs>
      <w:suppressAutoHyphens w:val="0"/>
      <w:spacing w:after="0"/>
      <w:jc w:val="left"/>
    </w:pPr>
    <w:rPr>
      <w:sz w:val="20"/>
      <w:szCs w:val="20"/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B028C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8">
    <w:name w:val="footer"/>
    <w:basedOn w:val="a"/>
    <w:link w:val="a9"/>
    <w:uiPriority w:val="99"/>
    <w:semiHidden/>
    <w:unhideWhenUsed/>
    <w:rsid w:val="00B028C7"/>
    <w:pPr>
      <w:tabs>
        <w:tab w:val="center" w:pos="4677"/>
        <w:tab w:val="right" w:pos="9355"/>
      </w:tabs>
      <w:suppressAutoHyphens w:val="0"/>
      <w:spacing w:after="0"/>
      <w:jc w:val="left"/>
    </w:pPr>
    <w:rPr>
      <w:sz w:val="20"/>
      <w:szCs w:val="20"/>
      <w:lang w:val="x-none" w:eastAsia="x-none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B028C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a">
    <w:name w:val="Plain Text"/>
    <w:basedOn w:val="a"/>
    <w:link w:val="ab"/>
    <w:uiPriority w:val="99"/>
    <w:rsid w:val="00B028C7"/>
    <w:pPr>
      <w:suppressAutoHyphens w:val="0"/>
      <w:spacing w:after="0"/>
      <w:jc w:val="left"/>
    </w:pPr>
    <w:rPr>
      <w:rFonts w:ascii="Courier New" w:hAnsi="Courier New"/>
      <w:sz w:val="20"/>
      <w:szCs w:val="20"/>
      <w:lang w:val="en-US" w:eastAsia="en-US"/>
    </w:rPr>
  </w:style>
  <w:style w:type="character" w:customStyle="1" w:styleId="ab">
    <w:name w:val="Текст Знак"/>
    <w:basedOn w:val="a0"/>
    <w:link w:val="aa"/>
    <w:uiPriority w:val="99"/>
    <w:rsid w:val="00B028C7"/>
    <w:rPr>
      <w:rFonts w:ascii="Courier New" w:eastAsia="Times New Roman" w:hAnsi="Courier New" w:cs="Times New Roman"/>
      <w:sz w:val="20"/>
      <w:szCs w:val="20"/>
      <w:lang w:val="en-US"/>
    </w:rPr>
  </w:style>
  <w:style w:type="paragraph" w:styleId="ac">
    <w:name w:val="Normal (Web)"/>
    <w:basedOn w:val="a"/>
    <w:rsid w:val="00B028C7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paragraph" w:customStyle="1" w:styleId="Style19">
    <w:name w:val="Style19"/>
    <w:basedOn w:val="a"/>
    <w:rsid w:val="00CC03BD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character" w:customStyle="1" w:styleId="FontStyle32">
    <w:name w:val="Font Style32"/>
    <w:basedOn w:val="a0"/>
    <w:rsid w:val="00CC03BD"/>
    <w:rPr>
      <w:rFonts w:ascii="Arial Narrow" w:hAnsi="Arial Narrow" w:cs="Arial Narrow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uiPriority w:val="59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semiHidden/>
    <w:unhideWhenUsed/>
    <w:rsid w:val="00B028C7"/>
    <w:pPr>
      <w:tabs>
        <w:tab w:val="center" w:pos="4677"/>
        <w:tab w:val="right" w:pos="9355"/>
      </w:tabs>
      <w:suppressAutoHyphens w:val="0"/>
      <w:spacing w:after="0"/>
      <w:jc w:val="left"/>
    </w:pPr>
    <w:rPr>
      <w:sz w:val="20"/>
      <w:szCs w:val="20"/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B028C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8">
    <w:name w:val="footer"/>
    <w:basedOn w:val="a"/>
    <w:link w:val="a9"/>
    <w:uiPriority w:val="99"/>
    <w:semiHidden/>
    <w:unhideWhenUsed/>
    <w:rsid w:val="00B028C7"/>
    <w:pPr>
      <w:tabs>
        <w:tab w:val="center" w:pos="4677"/>
        <w:tab w:val="right" w:pos="9355"/>
      </w:tabs>
      <w:suppressAutoHyphens w:val="0"/>
      <w:spacing w:after="0"/>
      <w:jc w:val="left"/>
    </w:pPr>
    <w:rPr>
      <w:sz w:val="20"/>
      <w:szCs w:val="20"/>
      <w:lang w:val="x-none" w:eastAsia="x-none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B028C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a">
    <w:name w:val="Plain Text"/>
    <w:basedOn w:val="a"/>
    <w:link w:val="ab"/>
    <w:uiPriority w:val="99"/>
    <w:rsid w:val="00B028C7"/>
    <w:pPr>
      <w:suppressAutoHyphens w:val="0"/>
      <w:spacing w:after="0"/>
      <w:jc w:val="left"/>
    </w:pPr>
    <w:rPr>
      <w:rFonts w:ascii="Courier New" w:hAnsi="Courier New"/>
      <w:sz w:val="20"/>
      <w:szCs w:val="20"/>
      <w:lang w:val="en-US" w:eastAsia="en-US"/>
    </w:rPr>
  </w:style>
  <w:style w:type="character" w:customStyle="1" w:styleId="ab">
    <w:name w:val="Текст Знак"/>
    <w:basedOn w:val="a0"/>
    <w:link w:val="aa"/>
    <w:uiPriority w:val="99"/>
    <w:rsid w:val="00B028C7"/>
    <w:rPr>
      <w:rFonts w:ascii="Courier New" w:eastAsia="Times New Roman" w:hAnsi="Courier New" w:cs="Times New Roman"/>
      <w:sz w:val="20"/>
      <w:szCs w:val="20"/>
      <w:lang w:val="en-US"/>
    </w:rPr>
  </w:style>
  <w:style w:type="paragraph" w:styleId="ac">
    <w:name w:val="Normal (Web)"/>
    <w:basedOn w:val="a"/>
    <w:rsid w:val="00B028C7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paragraph" w:customStyle="1" w:styleId="Style19">
    <w:name w:val="Style19"/>
    <w:basedOn w:val="a"/>
    <w:rsid w:val="00CC03BD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character" w:customStyle="1" w:styleId="FontStyle32">
    <w:name w:val="Font Style32"/>
    <w:basedOn w:val="a0"/>
    <w:rsid w:val="00CC03BD"/>
    <w:rPr>
      <w:rFonts w:ascii="Arial Narrow" w:hAnsi="Arial Narrow" w:cs="Arial Narrow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35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1114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3</cp:revision>
  <cp:lastPrinted>2012-09-19T06:58:00Z</cp:lastPrinted>
  <dcterms:created xsi:type="dcterms:W3CDTF">2012-10-05T11:19:00Z</dcterms:created>
  <dcterms:modified xsi:type="dcterms:W3CDTF">2012-10-10T10:12:00Z</dcterms:modified>
</cp:coreProperties>
</file>