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66C" w:rsidRPr="00A1066C" w:rsidRDefault="00A1066C" w:rsidP="00A1066C">
      <w:pPr>
        <w:spacing w:before="240"/>
        <w:rPr>
          <w:rFonts w:ascii="Times New Roman" w:hAnsi="Times New Roman"/>
          <w:b/>
          <w:bCs/>
          <w:color w:val="545454"/>
          <w:sz w:val="24"/>
          <w:szCs w:val="24"/>
        </w:rPr>
      </w:pPr>
      <w:r w:rsidRPr="00A1066C">
        <w:rPr>
          <w:rFonts w:ascii="Times New Roman" w:hAnsi="Times New Roman"/>
          <w:b/>
          <w:bCs/>
          <w:color w:val="545454"/>
          <w:sz w:val="24"/>
          <w:szCs w:val="24"/>
        </w:rPr>
        <w:t xml:space="preserve">Технические характеристики видеоконференции </w:t>
      </w:r>
      <w:proofErr w:type="spellStart"/>
      <w:r w:rsidRPr="00A1066C">
        <w:rPr>
          <w:rFonts w:ascii="Times New Roman" w:hAnsi="Times New Roman"/>
          <w:b/>
          <w:bCs/>
          <w:color w:val="545454"/>
          <w:sz w:val="24"/>
          <w:szCs w:val="24"/>
        </w:rPr>
        <w:t>Polycom</w:t>
      </w:r>
      <w:proofErr w:type="spellEnd"/>
      <w:r w:rsidRPr="00A1066C">
        <w:rPr>
          <w:rFonts w:ascii="Times New Roman" w:hAnsi="Times New Roman"/>
          <w:b/>
          <w:bCs/>
          <w:color w:val="545454"/>
          <w:sz w:val="24"/>
          <w:szCs w:val="24"/>
        </w:rPr>
        <w:t xml:space="preserve"> HDX 7000 серии (или эквивалент)</w:t>
      </w:r>
    </w:p>
    <w:tbl>
      <w:tblPr>
        <w:tblW w:w="5202" w:type="pct"/>
        <w:tblCellSpacing w:w="15" w:type="dxa"/>
        <w:tblInd w:w="-381" w:type="dxa"/>
        <w:tblCellMar>
          <w:left w:w="0" w:type="dxa"/>
          <w:right w:w="0" w:type="dxa"/>
        </w:tblCellMar>
        <w:tblLook w:val="04A0"/>
      </w:tblPr>
      <w:tblGrid>
        <w:gridCol w:w="3687"/>
        <w:gridCol w:w="6140"/>
      </w:tblGrid>
      <w:tr w:rsidR="00A1066C" w:rsidRPr="00A1066C" w:rsidTr="00A1066C">
        <w:trPr>
          <w:tblCellSpacing w:w="15" w:type="dxa"/>
        </w:trPr>
        <w:tc>
          <w:tcPr>
            <w:tcW w:w="185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Модель</w:t>
            </w:r>
          </w:p>
        </w:tc>
        <w:tc>
          <w:tcPr>
            <w:tcW w:w="310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066C" w:rsidRPr="00A1066C" w:rsidRDefault="00A1066C" w:rsidP="00A1066C">
            <w:pPr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A1066C" w:rsidRPr="00A1066C" w:rsidTr="00A1066C">
        <w:trPr>
          <w:tblCellSpacing w:w="15" w:type="dxa"/>
        </w:trPr>
        <w:tc>
          <w:tcPr>
            <w:tcW w:w="185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Видеостандарты и протоколы</w:t>
            </w:r>
          </w:p>
        </w:tc>
        <w:tc>
          <w:tcPr>
            <w:tcW w:w="310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H.261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H.263++ 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H.264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H.239 /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People+Content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функция подавления ошибок видео потока (H.263 и H.264)</w:t>
            </w:r>
          </w:p>
        </w:tc>
      </w:tr>
      <w:tr w:rsidR="00A1066C" w:rsidRPr="00A1066C" w:rsidTr="00A1066C">
        <w:trPr>
          <w:tblCellSpacing w:w="15" w:type="dxa"/>
        </w:trPr>
        <w:tc>
          <w:tcPr>
            <w:tcW w:w="185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Видео разрешения</w:t>
            </w:r>
          </w:p>
        </w:tc>
        <w:tc>
          <w:tcPr>
            <w:tcW w:w="310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720p, 30fps в 1Mbps-4Mbps (HDX 4002)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4SIF (704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480)/4CIF (704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576) при 256Kbps-1Mbps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SIF (352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240), CIF (352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288)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QSIF (176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120), QCIF (176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144)</w:t>
            </w:r>
          </w:p>
        </w:tc>
      </w:tr>
      <w:tr w:rsidR="00A1066C" w:rsidRPr="00A1066C" w:rsidTr="00A1066C">
        <w:trPr>
          <w:tblCellSpacing w:w="15" w:type="dxa"/>
        </w:trPr>
        <w:tc>
          <w:tcPr>
            <w:tcW w:w="185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Поддерживаемые разрешения</w:t>
            </w:r>
          </w:p>
        </w:tc>
        <w:tc>
          <w:tcPr>
            <w:tcW w:w="310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До 720р (HDX 7002)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Входное: 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- SXGA (1280х1024), 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- XGA (1024х768), 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- SVGA (800х600), 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- VGA (640х480)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Выходное: 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- XGA (1024х768), 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- SVGA (800х600)</w:t>
            </w:r>
          </w:p>
        </w:tc>
      </w:tr>
      <w:tr w:rsidR="00A1066C" w:rsidRPr="00A1066C" w:rsidTr="00A1066C">
        <w:trPr>
          <w:tblCellSpacing w:w="15" w:type="dxa"/>
        </w:trPr>
        <w:tc>
          <w:tcPr>
            <w:tcW w:w="185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Видеокамера</w:t>
            </w:r>
          </w:p>
        </w:tc>
        <w:tc>
          <w:tcPr>
            <w:tcW w:w="310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Polycom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EagleEye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Camera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- 1280х720p CCD - блок формирования изображения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- 12-ти кратное оптическое увеличение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- 72° - угол обзора по горизонтали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- +/- 100° - диапазон угла панорамирования 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- +20°/-30° - диапазон угла наклона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- Выходные форматы: SMPTE 296M 1280х720p, 50/60 FPS</w:t>
            </w:r>
          </w:p>
        </w:tc>
      </w:tr>
      <w:tr w:rsidR="00A1066C" w:rsidRPr="00A1066C" w:rsidTr="00A1066C">
        <w:trPr>
          <w:tblCellSpacing w:w="15" w:type="dxa"/>
        </w:trPr>
        <w:tc>
          <w:tcPr>
            <w:tcW w:w="185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Звуковые стандарты и протоколы</w:t>
            </w:r>
          </w:p>
        </w:tc>
        <w:tc>
          <w:tcPr>
            <w:tcW w:w="310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Polycom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StereoSurround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™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Полоса пропускания 22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kHz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системой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Polycom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Siren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22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Полоса пропускания 14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kHz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системой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Polycom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Siren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14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G.722.1 приложение</w:t>
            </w:r>
            <w:proofErr w:type="gram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proofErr w:type="gram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Полоса пропускания 7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kHz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G.722, G.722.1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Полоса пропускания 3,4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kHz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G.711, G.728, G.729А 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Автоматическая регулировка усиления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Автоматическое подавление шумов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Снижение шума клавишной панели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Режим живой музыки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Мгновенное подавление эха 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Подавление ошибок звукового потока</w:t>
            </w:r>
          </w:p>
        </w:tc>
      </w:tr>
      <w:tr w:rsidR="00A1066C" w:rsidRPr="00A1066C" w:rsidTr="00A1066C">
        <w:trPr>
          <w:tblCellSpacing w:w="15" w:type="dxa"/>
        </w:trPr>
        <w:tc>
          <w:tcPr>
            <w:tcW w:w="185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Другие ITU-поддерживаемые стандарты</w:t>
            </w:r>
          </w:p>
        </w:tc>
        <w:tc>
          <w:tcPr>
            <w:tcW w:w="310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H.221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H.224/ H.281 управление удаленной камерой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H.323 приложение Q управление удаленной камерой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H.225, H.245, H.241, H.331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H.239 двойной поток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H.231 в многоточечных вызовах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H.243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chair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control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H.460 обход NAT/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Firewall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BONDING, MODE 1</w:t>
            </w:r>
          </w:p>
        </w:tc>
      </w:tr>
      <w:tr w:rsidR="00A1066C" w:rsidRPr="00A1066C" w:rsidTr="00A1066C">
        <w:trPr>
          <w:tblCellSpacing w:w="15" w:type="dxa"/>
        </w:trPr>
        <w:tc>
          <w:tcPr>
            <w:tcW w:w="185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Соединения</w:t>
            </w:r>
          </w:p>
        </w:tc>
        <w:tc>
          <w:tcPr>
            <w:tcW w:w="310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iPriority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™ для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QoS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Интерфейсы: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- 2 порта 10/100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auto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NIC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switch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, RJ45 разъемы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H.323 до 4Mbps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Восстановление потерянных пакетов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- LPR™ для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QoS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- Изменяемый размер пакета MTU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SIP до 2Mbps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H.320 (дополнительно):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- ISDN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Quad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BRI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- ISDN PRI поток T1 или E1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- Последовательный (RS499, V.35, RS 530) до 2Mbps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Автоматическое определение SPID и конфигурирование линии</w:t>
            </w:r>
          </w:p>
        </w:tc>
      </w:tr>
      <w:tr w:rsidR="00A1066C" w:rsidRPr="00A1066C" w:rsidTr="00A1066C">
        <w:trPr>
          <w:tblCellSpacing w:w="15" w:type="dxa"/>
        </w:trPr>
        <w:tc>
          <w:tcPr>
            <w:tcW w:w="185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Пользовательский интерфейс</w:t>
            </w:r>
          </w:p>
        </w:tc>
        <w:tc>
          <w:tcPr>
            <w:tcW w:w="310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COD (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Polycom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PathNavigator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™ Конференция по требованию)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Услуги адресной книги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Системное управление: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Web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Based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- SNMP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Global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Management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System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™ (Глобальная система управления)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ReadiManager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SE 200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CDR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Международные языки (16)</w:t>
            </w:r>
          </w:p>
        </w:tc>
      </w:tr>
      <w:tr w:rsidR="00A1066C" w:rsidRPr="00A1066C" w:rsidTr="00A1066C">
        <w:trPr>
          <w:tblCellSpacing w:w="15" w:type="dxa"/>
        </w:trPr>
        <w:tc>
          <w:tcPr>
            <w:tcW w:w="185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Безопасность</w:t>
            </w:r>
          </w:p>
        </w:tc>
        <w:tc>
          <w:tcPr>
            <w:tcW w:w="310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Защищенный доступ к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Web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Telnet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, FTP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Вложенный AES FIPS 197, H.235V3 и H.233/234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Пароль для безопасной идентификации</w:t>
            </w:r>
          </w:p>
        </w:tc>
      </w:tr>
      <w:tr w:rsidR="00A1066C" w:rsidRPr="00A1066C" w:rsidTr="00A1066C">
        <w:trPr>
          <w:tblCellSpacing w:w="15" w:type="dxa"/>
        </w:trPr>
        <w:tc>
          <w:tcPr>
            <w:tcW w:w="185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Возможные опции</w:t>
            </w:r>
          </w:p>
        </w:tc>
        <w:tc>
          <w:tcPr>
            <w:tcW w:w="310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People+Content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H.320 интерфейсы сети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MPPlus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программное обеспечение для 4 участников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2-ой дисплей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Интерфейсы сетевых модулей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4Mbps полоса пропускания</w:t>
            </w:r>
          </w:p>
        </w:tc>
      </w:tr>
      <w:tr w:rsidR="00A1066C" w:rsidRPr="00A1066C" w:rsidTr="00A1066C">
        <w:trPr>
          <w:tblCellSpacing w:w="15" w:type="dxa"/>
        </w:trPr>
        <w:tc>
          <w:tcPr>
            <w:tcW w:w="185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Электрические</w:t>
            </w:r>
          </w:p>
        </w:tc>
        <w:tc>
          <w:tcPr>
            <w:tcW w:w="310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Блок питания с функцией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автоопределения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Рабочие значения напряжения и мощности: 189VA @ 115V @ 60Hz @ .67 PF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Рабочие значения напряжения и мощности: 192VA @ 230V @ 60Hz @ .66 PF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Рабочие значения напряжения и мощности: 196VA @ 230V @ 50Hz @ .65 PF</w:t>
            </w:r>
          </w:p>
        </w:tc>
      </w:tr>
      <w:tr w:rsidR="00A1066C" w:rsidRPr="00A1066C" w:rsidTr="00A1066C">
        <w:trPr>
          <w:tblCellSpacing w:w="15" w:type="dxa"/>
        </w:trPr>
        <w:tc>
          <w:tcPr>
            <w:tcW w:w="185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Характеристики окружающей среды</w:t>
            </w:r>
          </w:p>
        </w:tc>
        <w:tc>
          <w:tcPr>
            <w:tcW w:w="310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Рабочая температура: 0-40</w:t>
            </w:r>
            <w:proofErr w:type="gram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°С</w:t>
            </w:r>
            <w:proofErr w:type="gram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Рабочая относительная влажность: 10-80 %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Температура хранения: -40-70°С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Требуемая относительная влажность при хранении: 10-90 %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Максимальная высота над уровнем моря: 3000 м</w:t>
            </w:r>
          </w:p>
        </w:tc>
      </w:tr>
      <w:tr w:rsidR="00A1066C" w:rsidRPr="00A1066C" w:rsidTr="00A1066C">
        <w:trPr>
          <w:tblCellSpacing w:w="15" w:type="dxa"/>
        </w:trPr>
        <w:tc>
          <w:tcPr>
            <w:tcW w:w="185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Физические характеристики</w:t>
            </w:r>
          </w:p>
        </w:tc>
        <w:tc>
          <w:tcPr>
            <w:tcW w:w="310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066C" w:rsidRPr="00A1066C" w:rsidRDefault="00A1066C" w:rsidP="00A106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HDX 7000 - базовый блок со съемной подставкой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- 129мм (ширина)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352,3мм (высота) </w:t>
            </w:r>
            <w:proofErr w:type="spellStart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proofErr w:type="spellEnd"/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279,4мм (глубина) </w:t>
            </w:r>
            <w:r w:rsidRPr="00A1066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- Вес: 9,07кг</w:t>
            </w:r>
          </w:p>
        </w:tc>
      </w:tr>
    </w:tbl>
    <w:p w:rsidR="00492C43" w:rsidRDefault="00492C43" w:rsidP="00A1066C"/>
    <w:sectPr w:rsidR="00492C43" w:rsidSect="00492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characterSpacingControl w:val="doNotCompress"/>
  <w:compat/>
  <w:rsids>
    <w:rsidRoot w:val="00A1066C"/>
    <w:rsid w:val="00492C43"/>
    <w:rsid w:val="00A1066C"/>
    <w:rsid w:val="00C91B59"/>
    <w:rsid w:val="00CF0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66C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0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471</Words>
  <Characters>2688</Characters>
  <Application>Microsoft Office Word</Application>
  <DocSecurity>0</DocSecurity>
  <Lines>22</Lines>
  <Paragraphs>6</Paragraphs>
  <ScaleCrop>false</ScaleCrop>
  <Company>ОАО "Атомредметзолото"</Company>
  <LinksUpToDate>false</LinksUpToDate>
  <CharactersWithSpaces>3153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2012-02-24T12:24:00Z</dcterms:created>
  <dcterms:modified xsi:type="dcterms:W3CDTF">2012-02-24T12:24:00Z</dcterms:modified>
</cp:coreProperties>
</file>