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2D172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040614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040614">
        <w:rPr>
          <w:b/>
          <w:sz w:val="28"/>
          <w:szCs w:val="28"/>
        </w:rPr>
        <w:t>АБОНЕНТСКОЕ ОБСЛУЖИВАНИЕ СИГНАЛИЗАЦИИ ПО ПЕРИМЕТРУ ПХРО САМАРСКОГО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 xml:space="preserve">ПРАВО ЗАКЛЮЧЕНИЯ </w:t>
      </w:r>
      <w:r w:rsidR="00040614" w:rsidRPr="004D3BF0">
        <w:rPr>
          <w:rFonts w:ascii="Times New Roman" w:hAnsi="Times New Roman"/>
          <w:b/>
          <w:sz w:val="24"/>
          <w:szCs w:val="24"/>
        </w:rPr>
        <w:t xml:space="preserve">ДОГОВОРА НА </w:t>
      </w:r>
      <w:r w:rsidR="00040614" w:rsidRPr="00040614">
        <w:rPr>
          <w:rFonts w:ascii="Times New Roman" w:hAnsi="Times New Roman"/>
          <w:b/>
          <w:sz w:val="24"/>
          <w:szCs w:val="24"/>
        </w:rPr>
        <w:t>АБОНЕНТСКОЕ ОБСЛУЖИВАНИЕ СИГНАЛИЗАЦИИ ПО ПЕРИМЕТРУ ПХРО САМАРСКОГО ОТДЕЛЕНИЯ ФИЛИАЛА «ПРИВОЛЖСКИЙ ТЕРРИТОРИАЛЬНЫЙ ОКРУГ» ФГУП «РОСРАО»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Требования (НП-034-01) Правил физической защиты радиоактивных источн</w:t>
      </w:r>
      <w:r w:rsidRPr="006B55C6">
        <w:t>и</w:t>
      </w:r>
      <w:r w:rsidRPr="006B55C6">
        <w:t>ков, радиоактивных веществ, пунктов хранения радиоактивных отходов (ПХРО).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>Цель работы: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Поддержание работоспособности, обеспечение надежной работы сигнализации по периметру ПХРО Самарского отделения филиала «Приволжский территориальный округ» ФГУП «РосРАО».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 xml:space="preserve">Место оказания услуг: 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Самарская область, Волжский район, с. Дубовый Умет (ПХРО Самарского отделения филиала «Приволжский территориальный округ» ФГУП «РосРАО»).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 xml:space="preserve">Срок оказания услуг: </w:t>
      </w:r>
    </w:p>
    <w:p w:rsidR="006B55C6" w:rsidRDefault="006B55C6" w:rsidP="006B55C6">
      <w:pPr>
        <w:tabs>
          <w:tab w:val="num" w:pos="0"/>
        </w:tabs>
        <w:ind w:firstLine="709"/>
        <w:jc w:val="both"/>
      </w:pPr>
      <w:r w:rsidRPr="006B55C6">
        <w:t xml:space="preserve">Дата начала оказания услуг –  </w:t>
      </w:r>
      <w:r>
        <w:t>с момента подписания договора;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>
        <w:t>Д</w:t>
      </w:r>
      <w:r w:rsidRPr="006B55C6">
        <w:t xml:space="preserve">ата окончания оказания услуг – по </w:t>
      </w:r>
      <w:proofErr w:type="gramStart"/>
      <w:r w:rsidRPr="006B55C6">
        <w:t>истечении</w:t>
      </w:r>
      <w:proofErr w:type="gramEnd"/>
      <w:r w:rsidRPr="006B55C6">
        <w:t xml:space="preserve"> 12 месяцев.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>Оказание услуг: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6B55C6">
        <w:rPr>
          <w:rFonts w:ascii="Times New Roman" w:hAnsi="Times New Roman"/>
          <w:bCs/>
          <w:snapToGrid w:val="0"/>
          <w:sz w:val="24"/>
          <w:szCs w:val="24"/>
        </w:rPr>
        <w:t>обслуживание блоков обработки сигналов «Дельфин-М» - 7 шт.;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6B55C6">
        <w:rPr>
          <w:rFonts w:ascii="Times New Roman" w:hAnsi="Times New Roman"/>
          <w:bCs/>
          <w:snapToGrid w:val="0"/>
          <w:sz w:val="24"/>
          <w:szCs w:val="24"/>
        </w:rPr>
        <w:t>обслуживание чувствительного элемента охранной сигнализации – 1 520 м;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6B55C6">
        <w:rPr>
          <w:rFonts w:ascii="Times New Roman" w:hAnsi="Times New Roman"/>
          <w:bCs/>
          <w:snapToGrid w:val="0"/>
          <w:sz w:val="24"/>
          <w:szCs w:val="24"/>
        </w:rPr>
        <w:t>организация планового технического обслуживания и линейной части системы, которое способствует постоянному контролю технического состояния оборудования ИТСО;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6B55C6">
        <w:rPr>
          <w:rFonts w:ascii="Times New Roman" w:hAnsi="Times New Roman"/>
          <w:bCs/>
          <w:snapToGrid w:val="0"/>
          <w:sz w:val="24"/>
          <w:szCs w:val="24"/>
        </w:rPr>
        <w:t>поддержанию оборудования в исправном состоянии;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6B55C6">
        <w:rPr>
          <w:rFonts w:ascii="Times New Roman" w:hAnsi="Times New Roman"/>
          <w:bCs/>
          <w:snapToGrid w:val="0"/>
          <w:sz w:val="24"/>
          <w:szCs w:val="24"/>
        </w:rPr>
        <w:t xml:space="preserve">предупреждение отказов при эксплуатации и продление </w:t>
      </w:r>
      <w:r>
        <w:rPr>
          <w:rFonts w:ascii="Times New Roman" w:hAnsi="Times New Roman"/>
          <w:bCs/>
          <w:snapToGrid w:val="0"/>
          <w:sz w:val="24"/>
          <w:szCs w:val="24"/>
        </w:rPr>
        <w:t xml:space="preserve">его эксплуатационного ресурса. 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>Требования к участникам процедуры закупки: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Наличие лицензии ФСБ России на осуществление работ, связанных с использованием сведений, составляющих государственную тайну.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использование): 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Качество материалов и оборудования, используемых при оказании услуг, должно быть подтверждено соответствующими сертификатами.</w:t>
      </w:r>
    </w:p>
    <w:p w:rsidR="006B55C6" w:rsidRPr="006B55C6" w:rsidRDefault="006B55C6" w:rsidP="006B55C6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55C6">
        <w:rPr>
          <w:rFonts w:ascii="Times New Roman" w:hAnsi="Times New Roman"/>
          <w:b/>
          <w:sz w:val="24"/>
          <w:szCs w:val="24"/>
        </w:rPr>
        <w:t xml:space="preserve">Обоснованные требования к продукции, работам, услугам (технические характеристики, качество, гарантийные сроки): 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  <w:r w:rsidRPr="006B55C6">
        <w:t>Срок гарантии качества услуг, оказанных Исполнителем, составляет 6 месяцев, считая от даты оформления Сторонами акта сдачи-приемки оказанных услуг/выполненных работ. Гарантийный срок качества на вновь замененные элементы (приборы) в течение 12 (двенадцати) месяцев с даты подписания соответствующего акта. При выполнении работ должны выполняться требования действующей нормативной документации по охране труда, обеспечению пожарной и радиационной безопасности.</w:t>
      </w:r>
    </w:p>
    <w:p w:rsidR="006B55C6" w:rsidRPr="006B55C6" w:rsidRDefault="006B55C6" w:rsidP="006B55C6">
      <w:pPr>
        <w:tabs>
          <w:tab w:val="num" w:pos="0"/>
        </w:tabs>
        <w:ind w:firstLine="709"/>
        <w:jc w:val="both"/>
      </w:pPr>
    </w:p>
    <w:p w:rsidR="006B55C6" w:rsidRDefault="006B55C6" w:rsidP="004D3BF0">
      <w:pPr>
        <w:tabs>
          <w:tab w:val="num" w:pos="0"/>
        </w:tabs>
        <w:ind w:firstLine="709"/>
        <w:jc w:val="both"/>
      </w:pPr>
    </w:p>
    <w:sectPr w:rsidR="006B55C6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2D172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B55C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040614" w:rsidRPr="00040614">
      <w:rPr>
        <w:rFonts w:ascii="Times New Roman" w:hAnsi="Times New Roman" w:cs="Times New Roman"/>
      </w:rPr>
      <w:t>абонентское обслуживание сигнализации по периметру ПХРО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2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8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26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5"/>
  </w:num>
  <w:num w:numId="13">
    <w:abstractNumId w:val="7"/>
  </w:num>
  <w:num w:numId="14">
    <w:abstractNumId w:val="16"/>
  </w:num>
  <w:num w:numId="15">
    <w:abstractNumId w:val="22"/>
  </w:num>
  <w:num w:numId="16">
    <w:abstractNumId w:val="18"/>
  </w:num>
  <w:num w:numId="17">
    <w:abstractNumId w:val="11"/>
  </w:num>
  <w:num w:numId="18">
    <w:abstractNumId w:val="14"/>
  </w:num>
  <w:num w:numId="19">
    <w:abstractNumId w:val="21"/>
  </w:num>
  <w:num w:numId="20">
    <w:abstractNumId w:val="9"/>
  </w:num>
  <w:num w:numId="21">
    <w:abstractNumId w:val="17"/>
  </w:num>
  <w:num w:numId="22">
    <w:abstractNumId w:val="24"/>
  </w:num>
  <w:num w:numId="23">
    <w:abstractNumId w:val="12"/>
  </w:num>
  <w:num w:numId="24">
    <w:abstractNumId w:val="6"/>
  </w:num>
  <w:num w:numId="25">
    <w:abstractNumId w:val="20"/>
  </w:num>
  <w:num w:numId="26">
    <w:abstractNumId w:val="27"/>
  </w:num>
  <w:num w:numId="27">
    <w:abstractNumId w:val="28"/>
  </w:num>
  <w:num w:numId="28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543806-E36B-4872-B854-6151A32460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F4FD7C-102F-48DA-99B4-F06C0C87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2</Pages>
  <Words>352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420</cp:revision>
  <cp:lastPrinted>2012-09-26T11:12:00Z</cp:lastPrinted>
  <dcterms:created xsi:type="dcterms:W3CDTF">2012-03-23T07:01:00Z</dcterms:created>
  <dcterms:modified xsi:type="dcterms:W3CDTF">2012-12-21T07:46:00Z</dcterms:modified>
</cp:coreProperties>
</file>