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6B7" w:rsidRDefault="009866B7" w:rsidP="00FB56E1">
      <w:pPr>
        <w:keepNext/>
        <w:keepLines/>
        <w:jc w:val="center"/>
        <w:rPr>
          <w:color w:val="000000"/>
        </w:rPr>
      </w:pPr>
    </w:p>
    <w:p w:rsidR="009866B7" w:rsidRDefault="009866B7" w:rsidP="00FB56E1">
      <w:pPr>
        <w:keepNext/>
        <w:keepLines/>
        <w:jc w:val="center"/>
        <w:rPr>
          <w:color w:val="000000"/>
        </w:rPr>
      </w:pPr>
    </w:p>
    <w:tbl>
      <w:tblPr>
        <w:tblW w:w="9531" w:type="dxa"/>
        <w:tblLook w:val="04A0" w:firstRow="1" w:lastRow="0" w:firstColumn="1" w:lastColumn="0" w:noHBand="0" w:noVBand="1"/>
      </w:tblPr>
      <w:tblGrid>
        <w:gridCol w:w="4570"/>
        <w:gridCol w:w="4961"/>
      </w:tblGrid>
      <w:tr w:rsidR="00FB56E1" w:rsidTr="00FB56E1">
        <w:tc>
          <w:tcPr>
            <w:tcW w:w="4570" w:type="dxa"/>
          </w:tcPr>
          <w:p w:rsidR="00FB56E1" w:rsidRDefault="00FB56E1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</w:p>
          <w:p w:rsidR="00BA49CA" w:rsidRDefault="00BA49CA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</w:p>
          <w:p w:rsidR="00BA49CA" w:rsidRDefault="00BA49CA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</w:p>
          <w:p w:rsidR="00BA49CA" w:rsidRDefault="00BA49CA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</w:p>
          <w:p w:rsidR="00BA49CA" w:rsidRDefault="00BA49CA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</w:p>
          <w:p w:rsidR="00BA49CA" w:rsidRDefault="00BA49CA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</w:p>
          <w:p w:rsidR="00BA49CA" w:rsidRDefault="00BA49CA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</w:p>
          <w:p w:rsidR="00BA49CA" w:rsidRDefault="00BA49CA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</w:p>
          <w:p w:rsidR="00BA49CA" w:rsidRDefault="00BA49CA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  <w:bookmarkStart w:id="0" w:name="_GoBack"/>
            <w:bookmarkEnd w:id="0"/>
          </w:p>
        </w:tc>
        <w:tc>
          <w:tcPr>
            <w:tcW w:w="4961" w:type="dxa"/>
          </w:tcPr>
          <w:p w:rsidR="00FB56E1" w:rsidRDefault="00FB56E1" w:rsidP="00FB56E1">
            <w:pPr>
              <w:keepNext/>
              <w:keepLines/>
              <w:spacing w:line="276" w:lineRule="auto"/>
              <w:ind w:right="-2"/>
              <w:rPr>
                <w:b/>
                <w:lang w:eastAsia="en-US"/>
              </w:rPr>
            </w:pPr>
          </w:p>
        </w:tc>
      </w:tr>
    </w:tbl>
    <w:p w:rsidR="00FB56E1" w:rsidRDefault="00FB56E1" w:rsidP="00FB56E1">
      <w:pPr>
        <w:keepNext/>
        <w:keepLines/>
        <w:jc w:val="center"/>
        <w:rPr>
          <w:color w:val="000000"/>
        </w:rPr>
      </w:pPr>
    </w:p>
    <w:p w:rsidR="00FB56E1" w:rsidRDefault="00FB56E1" w:rsidP="00FB56E1">
      <w:pPr>
        <w:keepNext/>
        <w:keepLines/>
        <w:jc w:val="center"/>
        <w:rPr>
          <w:color w:val="000000"/>
        </w:rPr>
      </w:pPr>
    </w:p>
    <w:p w:rsidR="00FB56E1" w:rsidRDefault="00FB56E1" w:rsidP="00FB56E1">
      <w:pPr>
        <w:keepNext/>
        <w:keepLines/>
        <w:jc w:val="center"/>
        <w:rPr>
          <w:color w:val="000000"/>
        </w:rPr>
      </w:pPr>
    </w:p>
    <w:p w:rsidR="00FB56E1" w:rsidRDefault="00FB56E1" w:rsidP="00FB56E1">
      <w:pPr>
        <w:keepNext/>
        <w:keepLines/>
        <w:jc w:val="center"/>
        <w:rPr>
          <w:bCs/>
        </w:rPr>
      </w:pPr>
    </w:p>
    <w:p w:rsidR="00FB56E1" w:rsidRDefault="00FB56E1" w:rsidP="00FB56E1">
      <w:pPr>
        <w:keepNext/>
        <w:keepLines/>
        <w:jc w:val="center"/>
        <w:rPr>
          <w:bCs/>
        </w:rPr>
      </w:pPr>
    </w:p>
    <w:p w:rsidR="00FB56E1" w:rsidRDefault="00FB56E1" w:rsidP="00FB56E1">
      <w:pPr>
        <w:keepNext/>
        <w:keepLines/>
        <w:jc w:val="center"/>
        <w:rPr>
          <w:bCs/>
        </w:rPr>
      </w:pPr>
    </w:p>
    <w:p w:rsidR="00FB56E1" w:rsidRDefault="00FB56E1" w:rsidP="00FB56E1">
      <w:pPr>
        <w:keepNext/>
        <w:keepLines/>
        <w:jc w:val="center"/>
        <w:rPr>
          <w:bCs/>
        </w:rPr>
      </w:pPr>
    </w:p>
    <w:p w:rsidR="00FB56E1" w:rsidRDefault="00FB56E1" w:rsidP="00FB56E1">
      <w:pPr>
        <w:keepNext/>
        <w:keepLines/>
        <w:jc w:val="center"/>
        <w:outlineLvl w:val="0"/>
      </w:pPr>
      <w:bookmarkStart w:id="1" w:name="_Toc398564569"/>
      <w:bookmarkStart w:id="2" w:name="_Toc399408079"/>
      <w:bookmarkStart w:id="3" w:name="_Toc432426892"/>
      <w:r>
        <w:t>ЗАКУПОЧНАЯ ДОКУМЕНТАЦИЯ</w:t>
      </w:r>
      <w:bookmarkEnd w:id="1"/>
      <w:bookmarkEnd w:id="2"/>
      <w:bookmarkEnd w:id="3"/>
    </w:p>
    <w:p w:rsidR="00FB56E1" w:rsidRDefault="00FB56E1" w:rsidP="00FB56E1">
      <w:pPr>
        <w:keepNext/>
        <w:keepLines/>
        <w:jc w:val="center"/>
      </w:pPr>
      <w:r>
        <w:t>для запроса предложений в электронной форме, участниками которого являются только субъекты малого и среднего предпринимательства</w:t>
      </w:r>
    </w:p>
    <w:p w:rsidR="00FB56E1" w:rsidRDefault="00FB56E1" w:rsidP="00FB56E1">
      <w:pPr>
        <w:keepNext/>
        <w:keepLines/>
        <w:jc w:val="center"/>
      </w:pPr>
      <w:r>
        <w:t xml:space="preserve">на право заключения договора на </w:t>
      </w:r>
      <w:r w:rsidRPr="000763E9">
        <w:rPr>
          <w:color w:val="000000"/>
        </w:rPr>
        <w:t>оказание услуг размещения оборудования резервного центра обработки данных</w:t>
      </w:r>
    </w:p>
    <w:p w:rsidR="00FB56E1" w:rsidRDefault="00FB56E1" w:rsidP="00FB56E1">
      <w:pPr>
        <w:keepNext/>
        <w:keepLines/>
        <w:jc w:val="center"/>
      </w:pPr>
    </w:p>
    <w:p w:rsidR="00FB56E1" w:rsidRDefault="00FB56E1" w:rsidP="00FB56E1">
      <w:pPr>
        <w:keepNext/>
        <w:keepLines/>
        <w:jc w:val="center"/>
      </w:pPr>
    </w:p>
    <w:p w:rsidR="00FB56E1" w:rsidRDefault="00FB56E1" w:rsidP="00FB56E1">
      <w:pPr>
        <w:keepNext/>
        <w:keepLines/>
        <w:jc w:val="center"/>
      </w:pPr>
    </w:p>
    <w:p w:rsidR="00FB56E1" w:rsidRDefault="00FB56E1" w:rsidP="00FB56E1">
      <w:pPr>
        <w:keepNext/>
        <w:keepLines/>
        <w:jc w:val="center"/>
      </w:pPr>
    </w:p>
    <w:p w:rsidR="00FB56E1" w:rsidRDefault="00FB56E1" w:rsidP="00FB56E1">
      <w:pPr>
        <w:keepNext/>
        <w:keepLines/>
        <w:jc w:val="center"/>
      </w:pPr>
    </w:p>
    <w:p w:rsidR="00FB56E1" w:rsidRDefault="00FB56E1" w:rsidP="00FB56E1">
      <w:pPr>
        <w:keepNext/>
        <w:keepLines/>
        <w:jc w:val="center"/>
        <w:rPr>
          <w:caps/>
        </w:rPr>
      </w:pPr>
      <w:r>
        <w:rPr>
          <w:caps/>
        </w:rPr>
        <w:t>том 2 «ТЕХНИЧЕСКАЯ ЧАСТЬ»</w:t>
      </w:r>
    </w:p>
    <w:p w:rsidR="00FB56E1" w:rsidRDefault="00FB56E1" w:rsidP="00FB56E1">
      <w:pPr>
        <w:keepNext/>
        <w:keepLines/>
        <w:jc w:val="center"/>
      </w:pPr>
    </w:p>
    <w:p w:rsidR="00FB56E1" w:rsidRDefault="00FB56E1" w:rsidP="00FB56E1">
      <w:pPr>
        <w:keepNext/>
        <w:keepLines/>
        <w:jc w:val="center"/>
      </w:pPr>
    </w:p>
    <w:p w:rsidR="00FB56E1" w:rsidRDefault="00FB56E1" w:rsidP="00FB56E1">
      <w:pPr>
        <w:keepNext/>
        <w:keepLines/>
        <w:rPr>
          <w:color w:val="000000"/>
        </w:rPr>
      </w:pPr>
    </w:p>
    <w:p w:rsidR="00FB56E1" w:rsidRDefault="00FB56E1" w:rsidP="00FB56E1">
      <w:pPr>
        <w:keepNext/>
        <w:keepLines/>
        <w:rPr>
          <w:color w:val="000000"/>
        </w:rPr>
      </w:pPr>
    </w:p>
    <w:p w:rsidR="00FB56E1" w:rsidRDefault="00FB56E1" w:rsidP="00FB56E1">
      <w:pPr>
        <w:keepNext/>
        <w:keepLines/>
        <w:rPr>
          <w:color w:val="000000"/>
        </w:rPr>
      </w:pPr>
    </w:p>
    <w:p w:rsidR="00FB56E1" w:rsidRDefault="00FB56E1" w:rsidP="00FB56E1">
      <w:pPr>
        <w:keepNext/>
        <w:keepLines/>
        <w:rPr>
          <w:color w:val="000000"/>
        </w:rPr>
      </w:pPr>
    </w:p>
    <w:p w:rsidR="00FB56E1" w:rsidRDefault="00FB56E1" w:rsidP="00FB56E1">
      <w:pPr>
        <w:keepNext/>
        <w:keepLines/>
        <w:rPr>
          <w:color w:val="000000"/>
        </w:rPr>
      </w:pPr>
    </w:p>
    <w:p w:rsidR="00FB56E1" w:rsidRDefault="00FB56E1" w:rsidP="00FB56E1">
      <w:pPr>
        <w:keepNext/>
        <w:keepLines/>
        <w:rPr>
          <w:color w:val="000000"/>
        </w:rPr>
      </w:pPr>
    </w:p>
    <w:p w:rsidR="00FB56E1" w:rsidRDefault="00FB56E1" w:rsidP="00FB56E1">
      <w:pPr>
        <w:keepNext/>
        <w:keepLines/>
        <w:rPr>
          <w:color w:val="000000"/>
        </w:rPr>
      </w:pPr>
    </w:p>
    <w:p w:rsidR="00FB56E1" w:rsidRDefault="00FB56E1" w:rsidP="00FB56E1">
      <w:pPr>
        <w:keepNext/>
        <w:keepLines/>
        <w:jc w:val="center"/>
        <w:rPr>
          <w:color w:val="000000"/>
        </w:rPr>
      </w:pPr>
      <w:r>
        <w:rPr>
          <w:color w:val="000000"/>
        </w:rPr>
        <w:t>Москва</w:t>
      </w:r>
    </w:p>
    <w:p w:rsidR="009866B7" w:rsidRDefault="00FB56E1" w:rsidP="00FB56E1">
      <w:pPr>
        <w:keepNext/>
        <w:keepLines/>
        <w:jc w:val="center"/>
        <w:rPr>
          <w:color w:val="000000"/>
        </w:rPr>
      </w:pPr>
      <w:r>
        <w:rPr>
          <w:color w:val="000000"/>
        </w:rPr>
        <w:t>2015</w:t>
      </w:r>
    </w:p>
    <w:p w:rsidR="00FB56E1" w:rsidRDefault="00FB56E1" w:rsidP="00FB56E1">
      <w:pPr>
        <w:keepNext/>
        <w:keepLines/>
        <w:jc w:val="center"/>
        <w:rPr>
          <w:color w:val="000000"/>
        </w:rPr>
      </w:pPr>
    </w:p>
    <w:p w:rsidR="00FB56E1" w:rsidRDefault="00FB56E1" w:rsidP="00FB56E1">
      <w:pPr>
        <w:keepNext/>
        <w:keepLines/>
        <w:jc w:val="center"/>
        <w:rPr>
          <w:color w:val="000000"/>
        </w:rPr>
      </w:pPr>
    </w:p>
    <w:p w:rsidR="00FB56E1" w:rsidRDefault="00FB56E1" w:rsidP="00FB56E1">
      <w:pPr>
        <w:keepNext/>
        <w:keepLines/>
        <w:jc w:val="center"/>
        <w:rPr>
          <w:color w:val="000000"/>
        </w:rPr>
      </w:pPr>
    </w:p>
    <w:p w:rsidR="00FB56E1" w:rsidRPr="00135AE9" w:rsidRDefault="00FB56E1" w:rsidP="00FB56E1">
      <w:pPr>
        <w:keepNext/>
        <w:keepLines/>
        <w:jc w:val="center"/>
        <w:rPr>
          <w:color w:val="000000"/>
        </w:rPr>
      </w:pPr>
    </w:p>
    <w:p w:rsidR="009866B7" w:rsidRPr="00135AE9" w:rsidRDefault="009866B7" w:rsidP="00FB56E1">
      <w:pPr>
        <w:keepNext/>
        <w:keepLines/>
        <w:jc w:val="center"/>
        <w:rPr>
          <w:color w:val="000000"/>
        </w:rPr>
      </w:pPr>
      <w:r w:rsidRPr="00135AE9">
        <w:rPr>
          <w:color w:val="000000"/>
        </w:rPr>
        <w:t>СОДЕРЖАНИЕ</w:t>
      </w:r>
    </w:p>
    <w:p w:rsidR="009866B7" w:rsidRPr="00135AE9" w:rsidRDefault="009866B7" w:rsidP="00FB56E1">
      <w:pPr>
        <w:keepNext/>
        <w:keepLines/>
        <w:jc w:val="center"/>
        <w:rPr>
          <w:color w:val="000000"/>
        </w:rPr>
      </w:pPr>
    </w:p>
    <w:p w:rsidR="009866B7" w:rsidRPr="00135AE9" w:rsidRDefault="009866B7" w:rsidP="00FB56E1">
      <w:pPr>
        <w:keepNext/>
        <w:keepLines/>
        <w:rPr>
          <w:color w:val="000000"/>
        </w:rPr>
      </w:pPr>
    </w:p>
    <w:p w:rsidR="009866B7" w:rsidRPr="00135AE9" w:rsidRDefault="009866B7" w:rsidP="00FB56E1">
      <w:pPr>
        <w:keepNext/>
        <w:keepLines/>
        <w:rPr>
          <w:color w:val="000000"/>
        </w:rPr>
      </w:pPr>
      <w:r w:rsidRPr="00135AE9">
        <w:rPr>
          <w:color w:val="000000"/>
        </w:rPr>
        <w:t>РАЗДЕЛ 1. НАИМЕНОВАНИЕ УСЛУГИ</w:t>
      </w:r>
    </w:p>
    <w:p w:rsidR="009866B7" w:rsidRPr="00135AE9" w:rsidRDefault="009866B7" w:rsidP="00FB56E1">
      <w:pPr>
        <w:keepNext/>
        <w:keepLines/>
        <w:rPr>
          <w:color w:val="000000"/>
        </w:rPr>
      </w:pPr>
      <w:r w:rsidRPr="00135AE9">
        <w:rPr>
          <w:color w:val="000000"/>
        </w:rPr>
        <w:t>РАЗДЕЛ 2. ОПИСАНИЕ УСЛУГ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2.1 Состав (перечень) оказываемых услуг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2.2 Описание оказываемых услуг</w:t>
      </w:r>
    </w:p>
    <w:p w:rsidR="009866B7" w:rsidRPr="00135AE9" w:rsidRDefault="009866B7" w:rsidP="00FB56E1">
      <w:pPr>
        <w:keepNext/>
        <w:keepLines/>
        <w:ind w:left="2552" w:hanging="1701"/>
        <w:rPr>
          <w:color w:val="000000"/>
        </w:rPr>
      </w:pPr>
      <w:r w:rsidRPr="00135AE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9866B7" w:rsidRPr="00135AE9" w:rsidRDefault="009866B7" w:rsidP="00FB56E1">
      <w:pPr>
        <w:keepNext/>
        <w:keepLines/>
        <w:rPr>
          <w:color w:val="000000"/>
        </w:rPr>
      </w:pPr>
      <w:r w:rsidRPr="00135AE9">
        <w:rPr>
          <w:color w:val="000000"/>
        </w:rPr>
        <w:t>РАЗДЕЛ 3. ТРЕБОВАНИЯ К УСЛУГАМ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3.1 Общие требования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3.2 Требования к качеству оказываемых услуг</w:t>
      </w:r>
    </w:p>
    <w:p w:rsidR="009866B7" w:rsidRPr="00135AE9" w:rsidRDefault="009866B7" w:rsidP="00FB56E1">
      <w:pPr>
        <w:keepNext/>
        <w:keepLines/>
        <w:ind w:left="2552" w:hanging="1701"/>
        <w:rPr>
          <w:color w:val="000000"/>
        </w:rPr>
      </w:pPr>
      <w:r w:rsidRPr="00135AE9">
        <w:rPr>
          <w:color w:val="000000"/>
        </w:rPr>
        <w:t>Подраздел 3.3 Требования к гарантийным обязательствам оказываемых услуг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3.4 Требования к конфиденциальности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3.6 Требования по обучению персонала заказчика</w:t>
      </w:r>
    </w:p>
    <w:p w:rsidR="009866B7" w:rsidRPr="00135AE9" w:rsidRDefault="009866B7" w:rsidP="00FB56E1">
      <w:pPr>
        <w:keepNext/>
        <w:keepLines/>
        <w:ind w:left="2694" w:hanging="1843"/>
        <w:rPr>
          <w:color w:val="000000"/>
        </w:rPr>
      </w:pPr>
      <w:r w:rsidRPr="00135AE9">
        <w:rPr>
          <w:color w:val="000000"/>
        </w:rPr>
        <w:t>Подраздел 3.7 Требования к составу технического предложения участника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3.8 Специальные требования</w:t>
      </w:r>
    </w:p>
    <w:p w:rsidR="009866B7" w:rsidRPr="00135AE9" w:rsidRDefault="009866B7" w:rsidP="00FB56E1">
      <w:pPr>
        <w:keepNext/>
        <w:keepLines/>
        <w:rPr>
          <w:color w:val="000000"/>
        </w:rPr>
      </w:pPr>
      <w:r w:rsidRPr="00135AE9">
        <w:rPr>
          <w:color w:val="000000"/>
        </w:rPr>
        <w:t>РАЗДЕЛ 4. РЕЗУЛЬТАТ ОКАЗАННЫХ УСЛУГ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4.1 Описание конечного результата оказанных услуг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4.2 Требования по приемке услуг</w:t>
      </w:r>
    </w:p>
    <w:p w:rsidR="009866B7" w:rsidRPr="00135AE9" w:rsidRDefault="009866B7" w:rsidP="00FB56E1">
      <w:pPr>
        <w:keepNext/>
        <w:keepLines/>
        <w:ind w:left="851"/>
        <w:rPr>
          <w:color w:val="000000"/>
        </w:rPr>
      </w:pPr>
      <w:r w:rsidRPr="00135AE9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866B7" w:rsidRPr="00135AE9" w:rsidRDefault="009866B7" w:rsidP="00FB56E1">
      <w:pPr>
        <w:keepNext/>
        <w:keepLines/>
        <w:rPr>
          <w:color w:val="000000"/>
        </w:rPr>
      </w:pPr>
      <w:r w:rsidRPr="00135AE9">
        <w:rPr>
          <w:color w:val="000000"/>
        </w:rPr>
        <w:t>РАЗДЕЛ 5. ПЕРЕЧЕНЬ ПРИНЯТЫХ СОКРАЩЕНИЙ</w:t>
      </w:r>
    </w:p>
    <w:p w:rsidR="009866B7" w:rsidRPr="00135AE9" w:rsidRDefault="009866B7" w:rsidP="00FB56E1">
      <w:pPr>
        <w:keepNext/>
        <w:keepLines/>
        <w:rPr>
          <w:color w:val="000000"/>
        </w:rPr>
      </w:pPr>
      <w:r w:rsidRPr="00135AE9">
        <w:rPr>
          <w:color w:val="000000"/>
        </w:rPr>
        <w:t>РАЗДЕЛ 6. ПЕРЕЧЕНЬ ПРИЛОЖЕНИЙ</w:t>
      </w:r>
    </w:p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  <w:r w:rsidRPr="00135AE9">
        <w:rPr>
          <w:i/>
          <w:color w:val="000000"/>
          <w:sz w:val="26"/>
          <w:szCs w:val="26"/>
        </w:rPr>
        <w:br w:type="page"/>
      </w:r>
      <w:r w:rsidRPr="00FB56E1">
        <w:rPr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866B7" w:rsidRPr="00FB56E1" w:rsidTr="007E78A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both"/>
              <w:rPr>
                <w:i/>
                <w:color w:val="000000"/>
              </w:rPr>
            </w:pPr>
            <w:r w:rsidRPr="00FB56E1">
              <w:t xml:space="preserve">7259/33, </w:t>
            </w:r>
            <w:proofErr w:type="gramStart"/>
            <w:r w:rsidRPr="00FB56E1">
              <w:rPr>
                <w:color w:val="000000"/>
              </w:rPr>
              <w:t>Право</w:t>
            </w:r>
            <w:proofErr w:type="gramEnd"/>
            <w:r w:rsidRPr="00FB56E1">
              <w:rPr>
                <w:color w:val="000000"/>
              </w:rPr>
              <w:t xml:space="preserve"> заключения договора на оказание услуг размещения резервного центра обработки данных</w:t>
            </w:r>
          </w:p>
        </w:tc>
      </w:tr>
    </w:tbl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</w:p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  <w:r w:rsidRPr="00FB56E1">
        <w:rPr>
          <w:color w:val="000000"/>
        </w:rPr>
        <w:t>РАЗДЕЛ 2. ОПИСАНИЕ УСЛУГИ</w:t>
      </w:r>
    </w:p>
    <w:tbl>
      <w:tblPr>
        <w:tblW w:w="9570" w:type="dxa"/>
        <w:tblLook w:val="04A0" w:firstRow="1" w:lastRow="0" w:firstColumn="1" w:lastColumn="0" w:noHBand="0" w:noVBand="1"/>
      </w:tblPr>
      <w:tblGrid>
        <w:gridCol w:w="1380"/>
        <w:gridCol w:w="8190"/>
      </w:tblGrid>
      <w:tr w:rsidR="009866B7" w:rsidRPr="00FB56E1" w:rsidTr="007E78A0"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6B7" w:rsidRPr="00FB56E1" w:rsidRDefault="009866B7" w:rsidP="00FB56E1">
            <w:pPr>
              <w:keepNext/>
              <w:keepLines/>
              <w:spacing w:after="120"/>
              <w:ind w:left="100" w:right="100"/>
              <w:jc w:val="center"/>
            </w:pPr>
            <w:r w:rsidRPr="00FB56E1">
              <w:rPr>
                <w:b/>
                <w:bCs/>
                <w:iCs/>
              </w:rPr>
              <w:t>Код</w:t>
            </w:r>
          </w:p>
        </w:tc>
        <w:tc>
          <w:tcPr>
            <w:tcW w:w="8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6B7" w:rsidRPr="00FB56E1" w:rsidRDefault="009866B7" w:rsidP="00FB56E1">
            <w:pPr>
              <w:keepNext/>
              <w:keepLines/>
              <w:spacing w:after="120"/>
              <w:ind w:left="100" w:right="100"/>
              <w:jc w:val="center"/>
            </w:pPr>
            <w:r w:rsidRPr="00FB56E1">
              <w:rPr>
                <w:b/>
                <w:bCs/>
                <w:iCs/>
              </w:rPr>
              <w:t>Вид услуги</w:t>
            </w:r>
          </w:p>
        </w:tc>
      </w:tr>
      <w:tr w:rsidR="009866B7" w:rsidRPr="00FB56E1" w:rsidTr="007E78A0"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6B7" w:rsidRPr="00FB56E1" w:rsidRDefault="009866B7" w:rsidP="00FB56E1">
            <w:pPr>
              <w:keepNext/>
              <w:keepLines/>
              <w:spacing w:after="120"/>
              <w:ind w:left="100" w:right="100"/>
              <w:jc w:val="center"/>
              <w:rPr>
                <w:highlight w:val="yellow"/>
              </w:rPr>
            </w:pPr>
            <w:r w:rsidRPr="00FB56E1">
              <w:t>7499090</w:t>
            </w:r>
          </w:p>
        </w:tc>
        <w:tc>
          <w:tcPr>
            <w:tcW w:w="8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66B7" w:rsidRPr="00FB56E1" w:rsidRDefault="009866B7" w:rsidP="00FB56E1">
            <w:pPr>
              <w:keepNext/>
              <w:keepLines/>
              <w:spacing w:after="120"/>
              <w:ind w:left="100" w:right="100"/>
              <w:jc w:val="center"/>
              <w:rPr>
                <w:highlight w:val="yellow"/>
              </w:rPr>
            </w:pPr>
            <w:r w:rsidRPr="00FB56E1">
              <w:t>Коммерческие и технические услуги прочие, не включенные в другие группировки</w:t>
            </w:r>
          </w:p>
        </w:tc>
      </w:tr>
    </w:tbl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866B7" w:rsidRPr="00FB56E1" w:rsidTr="007E78A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9866B7" w:rsidRPr="00FB56E1" w:rsidTr="007E78A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both"/>
              <w:rPr>
                <w:color w:val="000000"/>
              </w:rPr>
            </w:pPr>
            <w:r w:rsidRPr="00FB56E1">
              <w:rPr>
                <w:color w:val="000000"/>
              </w:rPr>
              <w:t xml:space="preserve">Удовлетворение потребности Заказчика в функционировании информационных систем и хранении информации в резервном режиме для выполнения мероприятий по </w:t>
            </w:r>
            <w:proofErr w:type="spellStart"/>
            <w:r w:rsidRPr="00FB56E1">
              <w:rPr>
                <w:color w:val="000000"/>
              </w:rPr>
              <w:t>отказо</w:t>
            </w:r>
            <w:proofErr w:type="spellEnd"/>
            <w:r w:rsidRPr="00FB56E1">
              <w:rPr>
                <w:color w:val="000000"/>
              </w:rPr>
              <w:t xml:space="preserve">- и </w:t>
            </w:r>
            <w:proofErr w:type="spellStart"/>
            <w:r w:rsidRPr="00FB56E1">
              <w:rPr>
                <w:color w:val="000000"/>
              </w:rPr>
              <w:t>катастрофоустойчивости</w:t>
            </w:r>
            <w:proofErr w:type="spellEnd"/>
            <w:r w:rsidRPr="00FB56E1">
              <w:rPr>
                <w:color w:val="000000"/>
              </w:rPr>
              <w:t xml:space="preserve"> собственных информационных систем и систем хранения и резервирования данных.</w:t>
            </w:r>
          </w:p>
        </w:tc>
      </w:tr>
      <w:tr w:rsidR="009866B7" w:rsidRPr="00FB56E1" w:rsidTr="007E78A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Подраздел 2.2 Описание оказываемых услуг</w:t>
            </w:r>
          </w:p>
        </w:tc>
      </w:tr>
      <w:tr w:rsidR="009866B7" w:rsidRPr="00FB56E1" w:rsidTr="007E78A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>Услуга по размещению оборудования Заказчика в помещении ЦОД Исполнителя с обеспечением его функционирования, сохранности и защиты от несанкционированного физического доступа в составе: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 xml:space="preserve">Обеспечение условий для функционирования двух серверных стоек с максимальным энергопотреблением до 5 кВт, в </w:t>
            </w:r>
            <w:proofErr w:type="spellStart"/>
            <w:r w:rsidRPr="00FB56E1">
              <w:t>т.ч</w:t>
            </w:r>
            <w:proofErr w:type="spellEnd"/>
            <w:r w:rsidRPr="00FB56E1">
              <w:t>.: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3"/>
              </w:numPr>
              <w:spacing w:after="120"/>
              <w:ind w:left="459"/>
              <w:contextualSpacing/>
              <w:jc w:val="both"/>
            </w:pPr>
            <w:r w:rsidRPr="00FB56E1">
              <w:t>подготовка стойко-мест (подведение кабелей питания и сетевых кабелей);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3"/>
              </w:numPr>
              <w:spacing w:after="120"/>
              <w:ind w:left="459"/>
              <w:contextualSpacing/>
              <w:jc w:val="both"/>
            </w:pPr>
            <w:r w:rsidRPr="00FB56E1">
              <w:t>установка системы дополнительной физической безопасности для стойки APC типа AR3100 и AR3107;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3"/>
              </w:numPr>
              <w:spacing w:after="120"/>
              <w:ind w:left="459"/>
              <w:contextualSpacing/>
              <w:jc w:val="both"/>
            </w:pPr>
            <w:r w:rsidRPr="00FB56E1">
              <w:t>установка системы видеонаблюдения за двумя стойками с коммутацией с оборудованием Заказчика</w:t>
            </w:r>
            <w:r w:rsidR="00FB56E1" w:rsidRPr="00FB56E1">
              <w:t>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>Передача в аренду серверных стоек APC типа AR3100 и AR3107 42 юнита (ширина – 600 мм и 785 мм соответственно) и комплектных блоков распределения питания на срок 12 месяцев;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>Обеспечение дополнительной физической безопасности для стоек: передняя и задняя ручки со считывателями магнитных карт, датчики открытия передней и задней дверей, контроллер. Перечень обязательств Исполнителя в части средств и методов обеспечения сохранности и защиты от несанкционированного физического доступа к Оборудованию, используемому для размещения Оборудования Заказчика, применяется ко всем оказываемым Услугам кроме случаев, когда Заказчик специально заказывает иное.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>Аренда и получение доступа к системе видеонаблюдения за двумя стойко-местами.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 xml:space="preserve">Исполнитель должен обеспечить доставку Оборудования Заказчика из места ее текущего нахождения (в пределах </w:t>
            </w:r>
            <w:proofErr w:type="spellStart"/>
            <w:r w:rsidRPr="00FB56E1">
              <w:t>г.Москвы</w:t>
            </w:r>
            <w:proofErr w:type="spellEnd"/>
            <w:r w:rsidRPr="00FB56E1">
              <w:t xml:space="preserve">) до места оказания услуг, а </w:t>
            </w:r>
            <w:r w:rsidRPr="00FB56E1">
              <w:lastRenderedPageBreak/>
              <w:t xml:space="preserve">также монтаж и настройку Оборудования своими силами и за свой счет. </w:t>
            </w:r>
            <w:bookmarkStart w:id="4" w:name="_Toc399944243"/>
          </w:p>
          <w:p w:rsidR="009866B7" w:rsidRPr="00FB56E1" w:rsidRDefault="009866B7" w:rsidP="00FB56E1">
            <w:pPr>
              <w:keepNext/>
              <w:keepLines/>
              <w:numPr>
                <w:ilvl w:val="1"/>
                <w:numId w:val="0"/>
              </w:numPr>
              <w:spacing w:after="120"/>
              <w:ind w:left="375" w:hanging="375"/>
              <w:jc w:val="both"/>
              <w:outlineLvl w:val="1"/>
            </w:pPr>
            <w:r w:rsidRPr="00FB56E1">
              <w:t>Место оказания услуг</w:t>
            </w:r>
            <w:bookmarkEnd w:id="4"/>
            <w:r w:rsidRPr="00FB56E1">
              <w:t>:</w:t>
            </w:r>
          </w:p>
          <w:p w:rsidR="009866B7" w:rsidRPr="00FB56E1" w:rsidRDefault="009866B7" w:rsidP="00E8798C">
            <w:pPr>
              <w:keepNext/>
              <w:keepLines/>
              <w:spacing w:after="120"/>
              <w:jc w:val="both"/>
            </w:pPr>
            <w:r w:rsidRPr="00FB56E1">
              <w:t xml:space="preserve">Услуги размещения должны оказываться по адресу </w:t>
            </w:r>
            <w:r w:rsidR="00E8798C">
              <w:t>предлагае</w:t>
            </w:r>
            <w:r w:rsidRPr="00FB56E1">
              <w:t xml:space="preserve">мой </w:t>
            </w:r>
            <w:proofErr w:type="gramStart"/>
            <w:r w:rsidR="00E8798C">
              <w:t>площадки.</w:t>
            </w:r>
            <w:r w:rsidR="00E8798C" w:rsidRPr="00FB56E1">
              <w:t xml:space="preserve"> </w:t>
            </w:r>
            <w:r w:rsidRPr="00FB56E1">
              <w:t xml:space="preserve">  </w:t>
            </w:r>
            <w:proofErr w:type="gramEnd"/>
            <w:r w:rsidRPr="00FB56E1">
              <w:t xml:space="preserve">                                                                                      </w:t>
            </w:r>
          </w:p>
        </w:tc>
      </w:tr>
      <w:tr w:rsidR="009866B7" w:rsidRPr="00FB56E1" w:rsidTr="007E78A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866B7" w:rsidRPr="00FB56E1" w:rsidTr="007E78A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rPr>
                <w:color w:val="000000"/>
              </w:rPr>
            </w:pPr>
            <w:r w:rsidRPr="00FB56E1">
              <w:rPr>
                <w:color w:val="000000"/>
              </w:rPr>
              <w:t>Не определены</w:t>
            </w:r>
          </w:p>
        </w:tc>
      </w:tr>
    </w:tbl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</w:p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  <w:r w:rsidRPr="00FB56E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Подраздел 3.1 Общие требования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both"/>
            </w:pPr>
            <w:r w:rsidRPr="00FB56E1">
              <w:t>3.1.1.</w:t>
            </w:r>
            <w:r w:rsidRPr="00FB56E1">
              <w:tab/>
              <w:t>Сроки оказания услуг</w:t>
            </w:r>
            <w:r w:rsidR="00FB56E1" w:rsidRPr="00FB56E1">
              <w:t>:</w:t>
            </w:r>
          </w:p>
          <w:p w:rsidR="009866B7" w:rsidRPr="00FB56E1" w:rsidRDefault="009866B7" w:rsidP="00FB56E1">
            <w:pPr>
              <w:keepNext/>
              <w:keepLines/>
              <w:spacing w:after="120"/>
              <w:jc w:val="both"/>
            </w:pPr>
            <w:r w:rsidRPr="00FB56E1">
              <w:t>Дата начала оказания услуг – 22.12.2015</w:t>
            </w:r>
          </w:p>
          <w:p w:rsidR="009866B7" w:rsidRPr="00FB56E1" w:rsidRDefault="009866B7" w:rsidP="00FB56E1">
            <w:pPr>
              <w:keepNext/>
              <w:keepLines/>
              <w:spacing w:after="120"/>
              <w:jc w:val="both"/>
            </w:pPr>
            <w:r w:rsidRPr="00FB56E1">
              <w:t>Дата окончания оказания услуг – 21.12.2016</w:t>
            </w:r>
            <w:bookmarkStart w:id="5" w:name="_Toc363751093"/>
            <w:bookmarkStart w:id="6" w:name="_Toc399944247"/>
          </w:p>
          <w:p w:rsidR="009866B7" w:rsidRPr="00FB56E1" w:rsidRDefault="009866B7" w:rsidP="00FB56E1">
            <w:pPr>
              <w:keepNext/>
              <w:keepLines/>
              <w:numPr>
                <w:ilvl w:val="2"/>
                <w:numId w:val="18"/>
              </w:numPr>
              <w:spacing w:after="120"/>
              <w:ind w:right="170"/>
              <w:jc w:val="both"/>
              <w:outlineLvl w:val="1"/>
            </w:pPr>
            <w:r w:rsidRPr="00FB56E1">
              <w:t>Требования по оказанию сопутствующих услуг</w:t>
            </w:r>
            <w:bookmarkEnd w:id="5"/>
            <w:bookmarkEnd w:id="6"/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>До момента размещения оборудования и начала оказания услуг Размещения Исполнитель разрабатывает и согласовывает с Заказчиком Рабочий проект, содержащий информацию, необходимую для размещения Оборудования Заказчика, такую как: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5"/>
              </w:numPr>
              <w:spacing w:after="120"/>
              <w:ind w:left="567"/>
              <w:contextualSpacing/>
              <w:jc w:val="both"/>
            </w:pPr>
            <w:r w:rsidRPr="00FB56E1">
              <w:t>место размещения серверных стоек с Оборудованием;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5"/>
              </w:numPr>
              <w:spacing w:after="120"/>
              <w:ind w:left="567"/>
              <w:contextualSpacing/>
              <w:jc w:val="both"/>
            </w:pPr>
            <w:r w:rsidRPr="00FB56E1">
              <w:t>максимальное энергопотребление каждой серверной стойки;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5"/>
              </w:numPr>
              <w:spacing w:after="120"/>
              <w:ind w:left="567"/>
              <w:contextualSpacing/>
              <w:jc w:val="both"/>
            </w:pPr>
            <w:r w:rsidRPr="00FB56E1">
              <w:t>тип и количество электрических разъемов, подводимых к каждой серверной стойке;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5"/>
              </w:numPr>
              <w:spacing w:after="120"/>
              <w:ind w:left="567"/>
              <w:contextualSpacing/>
              <w:jc w:val="both"/>
            </w:pPr>
            <w:r w:rsidRPr="00FB56E1">
              <w:t>тип и количество информационных розеток (</w:t>
            </w:r>
            <w:proofErr w:type="spellStart"/>
            <w:r w:rsidRPr="00FB56E1">
              <w:t>Ethernet</w:t>
            </w:r>
            <w:proofErr w:type="spellEnd"/>
            <w:r w:rsidRPr="00FB56E1">
              <w:t>, FC), подведенных к каждой серверной стойке, а также схему коммутации информационных розеток между серверными стойками;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5"/>
              </w:numPr>
              <w:spacing w:after="120"/>
              <w:ind w:left="567"/>
              <w:contextualSpacing/>
              <w:jc w:val="both"/>
            </w:pPr>
            <w:r w:rsidRPr="00FB56E1">
              <w:t>тип, количество и способ коммутации информационных розеток для взаимодействия с площадками Заказчика.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>Предоставление Заказчику возможности прокладки собственной ВОЛС, линий связи в ЦОД двумя независимыми трассами;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 xml:space="preserve">Возможность аренды офисных помещений для размещения персонала Заказчика (до </w:t>
            </w:r>
            <w:r w:rsidR="00736CBE" w:rsidRPr="00FB56E1">
              <w:t>6</w:t>
            </w:r>
            <w:r w:rsidRPr="00FB56E1">
              <w:t xml:space="preserve"> человек) в здании ЦОД. Офисные рабочие места должны быть оснащены мебелью, электропитанием, системой кондиционирования. По требованию – стационарным телефоном, выходом в интернет. 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>Возможность предоставления Заказчику складского помещения в непосредственной близости с машинным залом;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>Предоставление Заказчику круглосуточной возможности ввоза/вывоза оборудования, а также услуги по погрузке/разгрузке;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r w:rsidRPr="00FB56E1">
              <w:t xml:space="preserve">Возможность предоставления услуги масштабирования вычислительной инфраструктуры Заказчика за счет ресурсов виртуального резервного центра обработки данных (ВР ЦОД) на «облачной» платформе с возможностью аренды: виртуальных серверов, виртуальных рабочих мест, виртуальных </w:t>
            </w:r>
            <w:r w:rsidRPr="00FB56E1">
              <w:lastRenderedPageBreak/>
              <w:t>сетей, программного обеспечения.</w:t>
            </w:r>
          </w:p>
          <w:p w:rsidR="009866B7" w:rsidRPr="00FB56E1" w:rsidRDefault="009866B7" w:rsidP="00FB56E1">
            <w:pPr>
              <w:keepNext/>
              <w:keepLines/>
              <w:numPr>
                <w:ilvl w:val="2"/>
                <w:numId w:val="18"/>
              </w:numPr>
              <w:spacing w:after="120"/>
              <w:ind w:right="170"/>
              <w:contextualSpacing/>
              <w:jc w:val="both"/>
              <w:outlineLvl w:val="1"/>
              <w:rPr>
                <w:rFonts w:eastAsia="Batang"/>
              </w:rPr>
            </w:pPr>
            <w:bookmarkStart w:id="7" w:name="_Toc363751094"/>
            <w:bookmarkStart w:id="8" w:name="_Toc399944248"/>
            <w:r w:rsidRPr="00FB56E1">
              <w:rPr>
                <w:rFonts w:eastAsia="Batang"/>
              </w:rPr>
              <w:t>Требования к площадке размещения</w:t>
            </w:r>
            <w:bookmarkEnd w:id="7"/>
            <w:bookmarkEnd w:id="8"/>
            <w:r w:rsidRPr="00FB56E1">
              <w:rPr>
                <w:rFonts w:eastAsia="Batang"/>
              </w:rPr>
              <w:t>: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3"/>
              </w:numPr>
              <w:spacing w:after="120"/>
              <w:ind w:right="170"/>
              <w:contextualSpacing/>
              <w:jc w:val="both"/>
            </w:pPr>
            <w:r w:rsidRPr="00FB56E1">
              <w:t>Расположение площадки: в Москве</w:t>
            </w:r>
            <w:r w:rsidR="0072325B">
              <w:t xml:space="preserve"> в пределах МКАД</w:t>
            </w:r>
            <w:r w:rsidRPr="00FB56E1">
              <w:t xml:space="preserve">.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1"/>
              </w:numPr>
              <w:spacing w:after="120"/>
              <w:ind w:right="170"/>
              <w:contextualSpacing/>
              <w:jc w:val="both"/>
            </w:pPr>
            <w:r w:rsidRPr="00FB56E1">
              <w:t xml:space="preserve">Здание, в котором расположен ЦОД, должно находиться в частной собственности Исполнителя или аренде сроком окончания до конца срока действия заключаемого по итогам процедуры закупки договора;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1"/>
              </w:numPr>
              <w:spacing w:after="120"/>
              <w:ind w:right="170"/>
              <w:contextualSpacing/>
              <w:jc w:val="both"/>
            </w:pPr>
            <w:r w:rsidRPr="00FB56E1">
              <w:t>Возможность круглосуточного доступа в ЦОД для прохода и завоза/вывоза оборудования;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1"/>
              </w:numPr>
              <w:spacing w:after="120"/>
              <w:ind w:right="170"/>
              <w:contextualSpacing/>
              <w:jc w:val="both"/>
            </w:pPr>
            <w:r w:rsidRPr="00FB56E1">
              <w:t xml:space="preserve">Нагрузочная способность на перекрытия - не менее 1200 кг на квадратный метр;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1"/>
              </w:numPr>
              <w:spacing w:after="120"/>
              <w:ind w:right="170"/>
              <w:contextualSpacing/>
              <w:jc w:val="both"/>
            </w:pPr>
            <w:r w:rsidRPr="00FB56E1">
              <w:t xml:space="preserve">В технологических помещениях ЦОД должны отсутствовать трубы тепло- и водоснабжения, канализации;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1"/>
              </w:numPr>
              <w:spacing w:after="120"/>
              <w:ind w:right="170"/>
              <w:contextualSpacing/>
              <w:jc w:val="both"/>
            </w:pPr>
            <w:r w:rsidRPr="00FB56E1">
              <w:t>В здании ЦОД должна быть организована зона погрузки/разгрузки оборудования. Зона должна позволять производить разгрузку грузовых автомобилей с длиной кузова до 9 м.;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 xml:space="preserve">В случае размещения ЦОД не на первом этаже здания для подъема оборудования должен быть предусмотрен лифт;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Требования к лифту: грузоподъемность – не менее 2 т, размеры кабины – не менее 3х1,5х2,2 м (</w:t>
            </w:r>
            <w:proofErr w:type="spellStart"/>
            <w:r w:rsidRPr="00FB56E1">
              <w:t>ШхГхВ</w:t>
            </w:r>
            <w:proofErr w:type="spellEnd"/>
            <w:r w:rsidRPr="00FB56E1">
              <w:t>);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Должа быть обеспечена возможность доставки и разгрузки с последующей установкой в помещении ЦОД заполненных стоек или оборудования в специализированных стойках с массой до 1500 кг;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Должны быть доступны два разных пути подвоза оборудования к зданию ЦОД;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Должны быть доступны два разных пути перемещения оборудования в ЦОД в стойках от грузовой машины до места установки стойки в машинном зале с учетом вышеизложенных требований к каждому пути перемещения;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Высота помещений машинного зала от чистого пола до плиты перекрытия не менее 3х метров;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Не допускается наличие окон на наружных стенах в машинном зале;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Не допускается расположение машинного зала в подвале;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Пути доставки оборудования должны обеспечить проемы не менее 1,8х2,4м (</w:t>
            </w:r>
            <w:proofErr w:type="spellStart"/>
            <w:r w:rsidRPr="00FB56E1">
              <w:t>ШхВ</w:t>
            </w:r>
            <w:proofErr w:type="spellEnd"/>
            <w:r w:rsidRPr="00FB56E1">
              <w:t>) на всем пути следования оборудования;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На пути следования оборудования должны отсутствовать перепады высоты более 3мм на 1м длины, пандусы и т.п. Все пороги на дверях на пути следования оборудования должны быть съемными;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Должна быть обеспечена возможность акклиматизации оборудования – хранения оборудования в заводской упаковке в непосредственной близости от машинного зала в теч</w:t>
            </w:r>
            <w:r w:rsidR="00736CBE" w:rsidRPr="00FB56E1">
              <w:t>ение 24 часов при температуре 22</w:t>
            </w:r>
            <w:r w:rsidRPr="00FB56E1">
              <w:t>+-5 градусов Цельсия</w:t>
            </w:r>
            <w:r w:rsidR="00736CBE" w:rsidRPr="00FB56E1">
              <w:t xml:space="preserve"> и относительной влажности 50+-1</w:t>
            </w:r>
            <w:r w:rsidRPr="00FB56E1">
              <w:t>0%;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Высота помещений машинного зала от самой нижней точки (поверхности канала, оборудования, строительной конструкции) не менее 2,4 метра;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lastRenderedPageBreak/>
              <w:t>Слаботочная кабельная система в машинном зале должна проходить в потолочных лотках над монтажными стойкам с активным оборудованием;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2"/>
              </w:numPr>
              <w:spacing w:after="120"/>
              <w:ind w:right="170"/>
              <w:contextualSpacing/>
              <w:jc w:val="both"/>
            </w:pPr>
            <w:r w:rsidRPr="00FB56E1">
              <w:t>Подвод питания к монтажным стойкам по территории машинного зала должен быть выполнен по потолочным лоткам над стойками с оборудованием, при необходимости должна быть обеспечена возможность подвода питания с нижней части сервера;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4"/>
              </w:numPr>
              <w:spacing w:after="120"/>
              <w:ind w:left="714" w:right="170" w:hanging="357"/>
              <w:contextualSpacing/>
              <w:jc w:val="both"/>
            </w:pPr>
            <w:r w:rsidRPr="00FB56E1">
              <w:t>Магистральные трубы системы кондиционирования должны находиться в выделенных помещениях, отдельно от машинного зала с активным оборудованием, отдельно от электрощитов подачи электропитания.</w:t>
            </w:r>
          </w:p>
          <w:p w:rsidR="009866B7" w:rsidRPr="00FB56E1" w:rsidRDefault="009866B7" w:rsidP="00FB56E1">
            <w:pPr>
              <w:keepNext/>
              <w:keepLines/>
              <w:numPr>
                <w:ilvl w:val="2"/>
                <w:numId w:val="18"/>
              </w:numPr>
              <w:spacing w:after="120"/>
              <w:ind w:left="851"/>
              <w:contextualSpacing/>
              <w:outlineLvl w:val="1"/>
              <w:rPr>
                <w:rFonts w:eastAsia="Batang"/>
              </w:rPr>
            </w:pPr>
            <w:bookmarkStart w:id="9" w:name="_Toc361738356"/>
            <w:bookmarkStart w:id="10" w:name="_Toc363751095"/>
            <w:bookmarkStart w:id="11" w:name="_Toc399944249"/>
            <w:r w:rsidRPr="00FB56E1">
              <w:rPr>
                <w:rFonts w:eastAsia="Batang"/>
              </w:rPr>
              <w:t>Требования к телекоммуникационным ресурс</w:t>
            </w:r>
            <w:bookmarkEnd w:id="9"/>
            <w:bookmarkEnd w:id="10"/>
            <w:bookmarkEnd w:id="11"/>
            <w:r w:rsidRPr="00FB56E1">
              <w:rPr>
                <w:rFonts w:eastAsia="Batang"/>
              </w:rPr>
              <w:t>ам</w:t>
            </w:r>
            <w:bookmarkStart w:id="12" w:name="_Toc361738357"/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Присутствие не менее 1 (одного) оптического ввода российского операторов связи; Исполнитель должен предоставить Заказчику перечень этих операторов для организации канала связи с их помощью до основной площадки Заказчика.</w:t>
            </w:r>
            <w:bookmarkStart w:id="13" w:name="_Toc361738358"/>
            <w:bookmarkStart w:id="14" w:name="_Toc363751096"/>
            <w:bookmarkStart w:id="15" w:name="_Toc399944250"/>
            <w:bookmarkEnd w:id="12"/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outlineLvl w:val="1"/>
              <w:rPr>
                <w:rFonts w:eastAsia="Batang"/>
              </w:rPr>
            </w:pPr>
            <w:r w:rsidRPr="00FB56E1">
              <w:rPr>
                <w:rFonts w:eastAsia="Batang"/>
              </w:rPr>
              <w:t>3.1.5. Требования к электроснабжени</w:t>
            </w:r>
            <w:bookmarkEnd w:id="13"/>
            <w:bookmarkEnd w:id="14"/>
            <w:bookmarkEnd w:id="15"/>
            <w:r w:rsidRPr="00FB56E1">
              <w:rPr>
                <w:rFonts w:eastAsia="Batang"/>
              </w:rPr>
              <w:t>ю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На площадке должна быть организована система бесперебойного отказоустойчивого электроснабжения, соответствующая следующим требованиям: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5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Отсутствие единой кнопки экстренного отключения электропитания ИТ нагрузки;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5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Для системы бесперебойного электроснабжения (СБЭ) должно быть предусмотрено питание в нормальном режиме от двух независимых вводов и разных городских подстанций с устройством АВР, а при отсутствии напряжения на внешних вводах от системы гарантированного электроснабжении (СГЭ);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5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Электропитание оборудования ЦОД должно быть выполнено от ИБП, построенного по системе резервирования 2N;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5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Наличие действующего договора на обслуживание ИБП и ДГУ;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5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Наличие действующего договора на поставку топлива для ДГУ в течение 5 часов с момента заказа;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5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ДГУ должны быть зарезервированы по схеме, как минимум N+1.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6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Группа ДГУ должна: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7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постоянно находиться в режиме ожидания и принимать всю рабочую нагрузку в течение 5 минут с момента отключения питания на внешних вводах;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7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быть обеспечена запасом дизельного топлива с резервированием (не менее двух ёмкостей и независимых путей подвода топлива к ДГУ от каждой ёмкости);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7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быть обеспечена запасом топлива на срок не менее 24 часов работы при полной нагрузке с возможностью дозаправки без прерывания работы, с учетом неприкосновенности резервного запаса топлива в резервной ёмкости;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7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lastRenderedPageBreak/>
              <w:t>иметь возможность выполнения роли основного источника питания.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8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Емкости с топливом, объемом свыше 1м³, не должны располагаться в одном здании с ЦОД;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8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Емкости батарей ИБП должно быть достаточно для двукратного переключения на ДГУ с учетом дополнительного запаса 5 минут, но не менее 15 минут;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8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Оборудование Заказчика должно быть обеспечено бесперебойным питанием от двух линий, каждая из которых оснащена выделенным ИБП, рассчитанным на полную мощность подключаемого оборудования;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8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Электроснабжение каждой стойки в машинном зале должно осуществляться по двум независимым линиям, питающимся от разных трансформаторов и независимых групп ИБП.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outlineLvl w:val="1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3.1.6. </w:t>
            </w:r>
            <w:bookmarkStart w:id="16" w:name="_Toc361738359"/>
            <w:bookmarkStart w:id="17" w:name="_Toc363751097"/>
            <w:bookmarkStart w:id="18" w:name="_Toc399944251"/>
            <w:r w:rsidRPr="00FB56E1">
              <w:rPr>
                <w:rFonts w:eastAsia="Batang"/>
              </w:rPr>
              <w:t>Требования к кондиционировани</w:t>
            </w:r>
            <w:bookmarkEnd w:id="16"/>
            <w:bookmarkEnd w:id="17"/>
            <w:bookmarkEnd w:id="18"/>
            <w:r w:rsidRPr="00FB56E1">
              <w:rPr>
                <w:rFonts w:eastAsia="Batang"/>
              </w:rPr>
              <w:t>ю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Здание площадки размещения должно быть оборудование системой центральной вентиляции и кондиционирования, удовлетворяющей следующим требованиям: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Наличие системы прецизионного кондиционирования с уровнем резервирования не ниже N+1;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Система кондиционирования должна быть подключена к системе гарантированного электроснабжения, с разделением питающей сети серверного и холодильного оборудования во избежание наведения электрических помех от электромоторов в цепях питания серверов;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Система кондиционирования должна обеспечивать поддержание рабочей температуры в диапазоне </w:t>
            </w:r>
            <w:r w:rsidR="00736CBE" w:rsidRPr="00FB56E1">
              <w:rPr>
                <w:rFonts w:eastAsia="Batang"/>
              </w:rPr>
              <w:t>22+-5</w:t>
            </w:r>
            <w:r w:rsidRPr="00FB56E1">
              <w:rPr>
                <w:rFonts w:eastAsia="Batang"/>
              </w:rPr>
              <w:t xml:space="preserve"> градусов Цельсия и влажности от 40 до 60%, точку росы не более 15 градусов Цельсия, скорость изменения температуры не более 5 градусов Цельсия в час;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Система кондиционирования должна обеспечивать работоспособность с резервированием при температуре наружного воздуха до +39 градусов Цельсия;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Охлаждение оборудования должно осуществляться через отверстия в фальшполу, удаление горячего воздуха из машинного зала должно осуществляться через объем за пространством </w:t>
            </w:r>
            <w:proofErr w:type="spellStart"/>
            <w:r w:rsidRPr="00FB56E1">
              <w:rPr>
                <w:rFonts w:eastAsia="Batang"/>
              </w:rPr>
              <w:t>фальшпотолка</w:t>
            </w:r>
            <w:proofErr w:type="spellEnd"/>
            <w:r w:rsidRPr="00FB56E1">
              <w:rPr>
                <w:rFonts w:eastAsia="Batang"/>
              </w:rPr>
              <w:t>, либо с помощью других методов изоляции холодных и горячих потоков воздуха, гарантирующих отсутствие перемешивания воздуха между холодным и горячим коридорами. Должны быть организованы холодный и горячий коридоры;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Пространство под фальшполом и за </w:t>
            </w:r>
            <w:proofErr w:type="spellStart"/>
            <w:r w:rsidRPr="00FB56E1">
              <w:rPr>
                <w:rFonts w:eastAsia="Batang"/>
              </w:rPr>
              <w:t>фальшпотолком</w:t>
            </w:r>
            <w:proofErr w:type="spellEnd"/>
            <w:r w:rsidRPr="00FB56E1">
              <w:rPr>
                <w:rFonts w:eastAsia="Batang"/>
              </w:rPr>
              <w:t xml:space="preserve"> машинного зала не может быть использовано для прокладки кабельных трасс </w:t>
            </w:r>
            <w:proofErr w:type="spellStart"/>
            <w:r w:rsidRPr="00FB56E1">
              <w:rPr>
                <w:rFonts w:eastAsia="Batang"/>
              </w:rPr>
              <w:t>электросистем</w:t>
            </w:r>
            <w:proofErr w:type="spellEnd"/>
            <w:r w:rsidRPr="00FB56E1">
              <w:rPr>
                <w:rFonts w:eastAsia="Batang"/>
              </w:rPr>
              <w:t xml:space="preserve"> или СКС. В данном пространстве допускается размещение только оборудования системы пожаротушения;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Защита объема машинного зала от возможного вредного воздействия компонентов </w:t>
            </w:r>
            <w:proofErr w:type="spellStart"/>
            <w:r w:rsidRPr="00FB56E1">
              <w:rPr>
                <w:rFonts w:eastAsia="Batang"/>
              </w:rPr>
              <w:t>хладоносителей</w:t>
            </w:r>
            <w:proofErr w:type="spellEnd"/>
            <w:r w:rsidRPr="00FB56E1">
              <w:rPr>
                <w:rFonts w:eastAsia="Batang"/>
              </w:rPr>
              <w:t xml:space="preserve"> и/или хладагентов (фреоны, гликоли и </w:t>
            </w:r>
            <w:r w:rsidRPr="00FB56E1">
              <w:rPr>
                <w:rFonts w:eastAsia="Batang"/>
              </w:rPr>
              <w:lastRenderedPageBreak/>
              <w:t>т.п.) в случае разгерметизации системы кондиционирования;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Глубина фальшпола должна быть не менее 1,2 метра для обеспечения защиты активного оборудования машинного зала в случае аварии системы охлаждения;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Система кондиционирования должна обеспечивать возможность размещения и эксплуатации стоек с потребляемой мощностью до 20 кВт;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39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При пропадании внешнего питания, обеспечивать непрерывную подачу холодного воздуха в машинном зале.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outlineLvl w:val="1"/>
              <w:rPr>
                <w:rFonts w:eastAsia="Batang"/>
              </w:rPr>
            </w:pPr>
            <w:bookmarkStart w:id="19" w:name="_Toc363751098"/>
            <w:bookmarkStart w:id="20" w:name="_Toc399944252"/>
            <w:r w:rsidRPr="00FB56E1">
              <w:rPr>
                <w:rFonts w:eastAsia="Batang"/>
              </w:rPr>
              <w:t>3.1.7 Требования к мониторингу состояния инженерных систем и оповещени</w:t>
            </w:r>
            <w:bookmarkEnd w:id="19"/>
            <w:bookmarkEnd w:id="20"/>
            <w:r w:rsidRPr="00FB56E1">
              <w:rPr>
                <w:rFonts w:eastAsia="Batang"/>
              </w:rPr>
              <w:t>й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На площадке должна быть организована следующая система отслеживания параметров функционирования технологического оборудования: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9"/>
              </w:numPr>
              <w:spacing w:after="120"/>
              <w:ind w:left="1134"/>
              <w:contextualSpacing/>
              <w:jc w:val="both"/>
              <w:rPr>
                <w:rFonts w:eastAsia="Batang"/>
              </w:rPr>
            </w:pPr>
            <w:bookmarkStart w:id="21" w:name="_Toc361738363"/>
            <w:r w:rsidRPr="00FB56E1">
              <w:rPr>
                <w:rFonts w:eastAsia="Batang"/>
              </w:rPr>
              <w:t>Круглосуточный мониторинг систем обеспечения ЦОД (инженерных систем);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19"/>
              </w:numPr>
              <w:spacing w:after="120"/>
              <w:ind w:left="1134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Организована и находиться в промышленной эксплуатации автоматизированная системы диспетчеризации и управления для сбора оперативной и статистической информации о работе инженерных систем и технологического оборудования.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Исполнителем должна предоставляться возможность оповещения в случае сбоя в работе инженерных систем ответственных работников Заказчика посредством электронной почты и СМС.</w:t>
            </w:r>
          </w:p>
          <w:bookmarkEnd w:id="21"/>
          <w:p w:rsidR="009866B7" w:rsidRPr="00FB56E1" w:rsidRDefault="00736CBE" w:rsidP="00FB56E1">
            <w:pPr>
              <w:keepNext/>
              <w:keepLines/>
              <w:spacing w:after="120"/>
              <w:contextualSpacing/>
              <w:rPr>
                <w:i/>
                <w:color w:val="000000"/>
              </w:rPr>
            </w:pPr>
            <w:r w:rsidRPr="00FB56E1">
              <w:t xml:space="preserve">              </w:t>
            </w:r>
            <w:r w:rsidR="009866B7" w:rsidRPr="00FB56E1">
              <w:t xml:space="preserve">                  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В </w:t>
            </w:r>
            <w:proofErr w:type="spellStart"/>
            <w:r w:rsidRPr="00FB56E1">
              <w:rPr>
                <w:rFonts w:eastAsia="Batang"/>
              </w:rPr>
              <w:t>ЦОДе</w:t>
            </w:r>
            <w:proofErr w:type="spellEnd"/>
            <w:r w:rsidRPr="00FB56E1">
              <w:rPr>
                <w:rFonts w:eastAsia="Batang"/>
              </w:rPr>
              <w:t xml:space="preserve"> должны присутствовать:</w:t>
            </w:r>
          </w:p>
          <w:p w:rsidR="009866B7" w:rsidRPr="00FB56E1" w:rsidRDefault="009866B7" w:rsidP="00FB56E1">
            <w:pPr>
              <w:keepNext/>
              <w:keepLines/>
              <w:numPr>
                <w:ilvl w:val="2"/>
                <w:numId w:val="21"/>
              </w:numPr>
              <w:spacing w:after="120"/>
              <w:ind w:left="459" w:hanging="436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промышленная система кондиционирования и вентиляции (согласно СНиП 2.04.05-86); </w:t>
            </w:r>
          </w:p>
          <w:p w:rsidR="009866B7" w:rsidRPr="00FB56E1" w:rsidRDefault="009866B7" w:rsidP="00FB56E1">
            <w:pPr>
              <w:keepNext/>
              <w:keepLines/>
              <w:numPr>
                <w:ilvl w:val="2"/>
                <w:numId w:val="21"/>
              </w:numPr>
              <w:spacing w:after="120"/>
              <w:ind w:left="459" w:hanging="436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система автоматического пожаротушения (согласно ГОСТ 12.1.004-76.ССБТ); </w:t>
            </w:r>
          </w:p>
          <w:p w:rsidR="009866B7" w:rsidRPr="00FB56E1" w:rsidRDefault="009866B7" w:rsidP="00FB56E1">
            <w:pPr>
              <w:keepNext/>
              <w:keepLines/>
              <w:numPr>
                <w:ilvl w:val="2"/>
                <w:numId w:val="21"/>
              </w:numPr>
              <w:spacing w:after="120"/>
              <w:ind w:left="459" w:hanging="436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электростатическая защита помещения (обычно полы с антистатическим покрытием, согласно ГОСТ 12.4.124-83, СН-2152-80 и СанПиН-2.2.2.542-96); 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Должно быть организовано круглосуточное дежурство высококвалифицированных инженеров и администраторов сети, обслуживающих инженерные системы ЦОД. 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Уровень доступности ЦОД должен быть не менее 99,982%.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Не предъявляются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both"/>
              <w:outlineLvl w:val="1"/>
              <w:rPr>
                <w:rFonts w:eastAsia="Batang"/>
              </w:rPr>
            </w:pPr>
            <w:r w:rsidRPr="00FB56E1">
              <w:rPr>
                <w:rFonts w:eastAsia="Batang"/>
              </w:rPr>
              <w:t>Все вопросы, касающиеся порядка, условий передачи, использования и хранения информации, составляющей коммерческую тайну Заказчика, регламентированы Договором о конфиденциальности и неразглашении информации, планируемом к подписанию до начала оказания услуг.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contextualSpacing/>
              <w:outlineLvl w:val="1"/>
              <w:rPr>
                <w:rFonts w:eastAsia="Batang"/>
              </w:rPr>
            </w:pPr>
            <w:r w:rsidRPr="00FB56E1">
              <w:rPr>
                <w:rFonts w:eastAsia="Batang"/>
              </w:rPr>
              <w:t>3.5.1. Безопасность площадки и контроль доступа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На площадке размещения должны присутствовать или быть организованы: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Контрольно-пропускной пункт при входе в </w:t>
            </w:r>
            <w:r w:rsidR="00736CBE" w:rsidRPr="00FB56E1">
              <w:t>ЦОД</w:t>
            </w:r>
            <w:r w:rsidRPr="00FB56E1">
              <w:rPr>
                <w:rFonts w:eastAsia="Batang"/>
              </w:rPr>
              <w:t>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Система безопасности и автоматизированного контроля доступа с хранением истории доступа не менее 90 суток;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Круглосуточно охраняемые помещения и охраняемую территорию, на которой находится ЦОД и обеспечивающие системы (РТП, ДГУ);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Система видеонаблюдения внутри, снаружи ЦОД с хранением информации с камер не менее 90 суток;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Система разграничения физического доступа в технологические помещения ЦОД на базе идентификации (магнитного пропуска);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Контроль доступа со стороны охраны и дежурной смены, регламент доступа;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Установка по желанию Заказчика</w:t>
            </w:r>
            <w:r w:rsidR="00736CBE" w:rsidRPr="00FB56E1">
              <w:rPr>
                <w:rFonts w:eastAsia="Batang"/>
              </w:rPr>
              <w:t xml:space="preserve"> и за счет Заказчика</w:t>
            </w:r>
            <w:r w:rsidRPr="00FB56E1">
              <w:rPr>
                <w:rFonts w:eastAsia="Batang"/>
              </w:rPr>
              <w:t xml:space="preserve"> дополнительных средств безопасности;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Возможность ограждения стойко-мест с организацией контроля доступа на системе, размещенной в зоне ответственности Заказчика. Исполнитель не должен иметь возможности вносить изменения в режим работы данной системы контроля доступа;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Инженеры Исполнителя не должны иметь возможности получить доступ к оборудованию Заказчика или СКС внутри ограждения при обслуживании инженерных систем ЦОД;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Возможность доступа в ЦОД персонала Заказчика в режиме 24/7/365;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Не менее 4 периметров визуального контроля доступа к оборудованию Заказчика и инженерным системам ЦОД;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Не менее 3 периметров контроля доступа к оборудованию Заказчика и инженерным системам ЦОД;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Доступ Заказчика далее 1 периметра контроля доступа – только в сопровождении сотрудников ЦОД для всех Заказчиков;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В ЦОД должна быть реализована схема зонирования по типам подсистем для исключения или минимизации доступа инженерных служб в машинный зал и склад с оборудованием заказчиков. </w:t>
            </w:r>
            <w:proofErr w:type="spellStart"/>
            <w:r w:rsidRPr="00FB56E1">
              <w:rPr>
                <w:rFonts w:eastAsia="Batang"/>
              </w:rPr>
              <w:t>Электрощитовые</w:t>
            </w:r>
            <w:proofErr w:type="spellEnd"/>
            <w:r w:rsidRPr="00FB56E1">
              <w:rPr>
                <w:rFonts w:eastAsia="Batang"/>
              </w:rPr>
              <w:t>, кондиционеры, прочие инженерные подсистемы ЦОД должны быть вынесены в отдельные (от машинного зала) помещения ЦОД. Доступ в помещения ЦОД должен обеспечиваться системой контроля и управления доступом с использованием магнитных пропусков и двухфакторной аутентификацией.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Для защиты зон, где имеется информация и средства обработки информации, должны использоваться периметры безопасности (барьеры, такие как стены, проходные, оборудованные средствами контроля входа по идентификационным карточкам) Физические </w:t>
            </w:r>
            <w:r w:rsidRPr="00FB56E1">
              <w:rPr>
                <w:rFonts w:eastAsia="Batang"/>
              </w:rPr>
              <w:lastRenderedPageBreak/>
              <w:t>барьеры должны по необходимости простираться от пола до потолка, чтобы предотвратить несанкционированный доступ в помещение и загрязнение окружающей среды.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left="714" w:right="170" w:hanging="357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В нерабочее время защищенные области должны быть физически недоступны (закрыты на замки) и периодически проверяться охраной.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Персоналу, осуществляющему техническое обслуживание сервисов, должен быть предоставлен доступ в защищенные области только в случае необходимости и после получения разрешения.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Кабели электропитания и линии связи, идущие к информационным системам, должны быть проведены под землей (по возможности) или защищены надлежащим образом с помощью других средств.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Для защиты сетевых кабелей от их несанкционированного вскрытия для целей перехвата данных и от повреждения необходимо прокладывать эти линии так, чтобы они не проходили через общедоступные места.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Необходимо использовать камеры видеонаблюдения или иные механизмы контроля доступа, чтобы следить за критичными местами. Доступ к сетевым разъемам, расположенным в общедоступных местах, должен быть ограничен. 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0"/>
              </w:numPr>
              <w:spacing w:after="120"/>
              <w:ind w:right="17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Доступ к беспроводным точкам доступа, шлюзам, портативным устройствам, сетевому/коммуникационному оборудованию и каналам связи должен быть ограничен.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ind w:left="360"/>
              <w:contextualSpacing/>
              <w:outlineLvl w:val="1"/>
              <w:rPr>
                <w:rFonts w:eastAsia="Batang"/>
              </w:rPr>
            </w:pPr>
            <w:r w:rsidRPr="00FB56E1">
              <w:rPr>
                <w:rFonts w:eastAsia="Batang"/>
              </w:rPr>
              <w:t>3.5.2 Требования к системе пожарной безопасности</w:t>
            </w:r>
          </w:p>
          <w:p w:rsidR="009866B7" w:rsidRPr="00FB56E1" w:rsidRDefault="009866B7" w:rsidP="00FB56E1">
            <w:pPr>
              <w:keepNext/>
              <w:keepLines/>
              <w:numPr>
                <w:ilvl w:val="3"/>
                <w:numId w:val="24"/>
              </w:numPr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Здание площадки размещения должно быть оборудование системой пожарной безопасности, удовлетворяющей следующим требованиям: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Наличие автоматической системы газового пожаротушения со световой и звуковой сигнализацией;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Наличие в машинном зале датчиков раннего обнаружения задымления (газоанализаторов);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Выпуск ОТВ в машинных залах и технологических помещениях (например, помещениях с ИБП) должно осуществляться в трех объемах: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23"/>
              </w:numPr>
              <w:spacing w:after="120"/>
              <w:ind w:left="2552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под фальшполом</w:t>
            </w:r>
            <w:r w:rsidR="00FB56E1" w:rsidRPr="00FB56E1">
              <w:rPr>
                <w:rFonts w:eastAsia="Batang"/>
              </w:rPr>
              <w:t>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23"/>
              </w:numPr>
              <w:spacing w:after="120"/>
              <w:ind w:left="2552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в основном объеме</w:t>
            </w:r>
            <w:r w:rsidR="00FB56E1" w:rsidRPr="00FB56E1">
              <w:rPr>
                <w:rFonts w:eastAsia="Batang"/>
              </w:rPr>
              <w:t>;</w:t>
            </w:r>
          </w:p>
          <w:p w:rsidR="009866B7" w:rsidRPr="00FB56E1" w:rsidRDefault="00FB56E1" w:rsidP="00FB56E1">
            <w:pPr>
              <w:keepNext/>
              <w:keepLines/>
              <w:numPr>
                <w:ilvl w:val="0"/>
                <w:numId w:val="23"/>
              </w:numPr>
              <w:spacing w:after="120"/>
              <w:ind w:left="2552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за </w:t>
            </w:r>
            <w:proofErr w:type="spellStart"/>
            <w:r w:rsidRPr="00FB56E1">
              <w:rPr>
                <w:rFonts w:eastAsia="Batang"/>
              </w:rPr>
              <w:t>фальшпотолком</w:t>
            </w:r>
            <w:proofErr w:type="spellEnd"/>
            <w:r w:rsidRPr="00FB56E1">
              <w:rPr>
                <w:rFonts w:eastAsia="Batang"/>
              </w:rPr>
              <w:t>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Срабатывание системы пожаротушения не должно выводить из строя размещенное и не поврежденное пожаром оборудование.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Аспирационная система пожарной сигнализации - система пожарной сигнализации с активным забором воздуха из зоны горячего коридора машинного зала и фильтром предварительной очистки анализируемого воздуха.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Количество расчетных пожаров - не менее двух. Система пожаротушения должна обеспечивать возможность тушения любого защищаемого объема два раза подряд без необходимости промежуточного обслуживания и дозаправки.</w:t>
            </w:r>
          </w:p>
          <w:p w:rsidR="00736CBE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Присутствие на площадке дежурной смены пожарной бригады из не менее </w:t>
            </w:r>
            <w:r w:rsidRPr="00FB56E1">
              <w:rPr>
                <w:rFonts w:eastAsia="Batang"/>
              </w:rPr>
              <w:lastRenderedPageBreak/>
              <w:t>чем двух человек в режиме 24х7х365 с возможностью прибытия к месту возгорания в срок не более 1 (одной) минуты с момента срабатывания в костюмах пожарной защиты, изолирующих противогазах, кислородных баллонах и т.п.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3.5.3 Требования к информационной безопасности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rPr>
                <w:rFonts w:eastAsia="Batang"/>
              </w:rPr>
            </w:pPr>
            <w:r w:rsidRPr="00FB56E1">
              <w:rPr>
                <w:rFonts w:eastAsia="Batang"/>
              </w:rPr>
              <w:t>Требования к средствам информационной безопасности:</w:t>
            </w:r>
          </w:p>
          <w:p w:rsidR="009866B7" w:rsidRPr="00FB56E1" w:rsidRDefault="009866B7" w:rsidP="00FB56E1">
            <w:pPr>
              <w:keepNext/>
              <w:keepLines/>
              <w:tabs>
                <w:tab w:val="left" w:pos="708"/>
              </w:tabs>
              <w:spacing w:after="120"/>
              <w:contextualSpacing/>
              <w:rPr>
                <w:rFonts w:eastAsia="Verdana"/>
                <w:lang w:eastAsia="zh-CN" w:bidi="hi-IN"/>
              </w:rPr>
            </w:pPr>
            <w:r w:rsidRPr="00FB56E1">
              <w:rPr>
                <w:rFonts w:eastAsia="Verdana"/>
                <w:lang w:eastAsia="zh-CN" w:bidi="hi-IN"/>
              </w:rPr>
              <w:t>Возможность управления доступом к виртуальным сетям по любым портам и протоколам;</w:t>
            </w:r>
          </w:p>
          <w:p w:rsidR="009866B7" w:rsidRPr="00FB56E1" w:rsidRDefault="009866B7" w:rsidP="00FB56E1">
            <w:pPr>
              <w:keepNext/>
              <w:keepLines/>
              <w:tabs>
                <w:tab w:val="left" w:pos="708"/>
              </w:tabs>
              <w:spacing w:after="120"/>
              <w:contextualSpacing/>
              <w:rPr>
                <w:rFonts w:eastAsia="Batang"/>
              </w:rPr>
            </w:pPr>
            <w:r w:rsidRPr="00FB56E1">
              <w:rPr>
                <w:rFonts w:eastAsia="Batang"/>
              </w:rPr>
              <w:t>Возможность организации защищенного доступа к серверам ИТ-системы с использованием протокола IPSEC.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rPr>
                <w:color w:val="000000"/>
              </w:rPr>
            </w:pPr>
            <w:r w:rsidRPr="00FB56E1">
              <w:rPr>
                <w:color w:val="000000"/>
              </w:rPr>
              <w:t>Не требуется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</w:pPr>
            <w:bookmarkStart w:id="22" w:name="_Toc121817901"/>
            <w:bookmarkStart w:id="23" w:name="_Toc256754661"/>
            <w:bookmarkStart w:id="24" w:name="_Toc272487712"/>
            <w:r w:rsidRPr="00FB56E1">
              <w:t>Предложение по размещению информационных сервисов должно включать: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>Стоимость услуги аренды, в соответствии с Приложением №1;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>Заполненные формы технических характеристик ЦОД, в соответствии с Приложением №2;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>Описательную часть, в части наличия и уровня систем, обеспечивающих непрерывное функционирование оборудования, а также систем безопасности;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>Информацию по организации доступа специалистов Заказчика к размещаемому оборудованию, а также стоимости данной услуги. При возможности размещения администраторов Заказчика – условия и стоимость их размещения;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>Стоимость аренды каналов передачи данных до узлов M9 или M10 (10Мбит/сек, 100Мбит/сек, 1Гбит/сек) и информацию о существующем присутствии операторов связи;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>Список присутствующих операторов;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>Схемы организации: технического обслуживания, технической поддержки, разрешения инцидентов;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4"/>
              </w:numPr>
              <w:spacing w:after="120"/>
              <w:ind w:right="170"/>
              <w:contextualSpacing/>
              <w:jc w:val="both"/>
            </w:pPr>
            <w:r w:rsidRPr="00FB56E1">
              <w:t xml:space="preserve">Возможность оказания технической поддержки оборудования и ИТ-систем Заказчика, размещаемых в </w:t>
            </w:r>
            <w:r w:rsidR="00736CBE" w:rsidRPr="00FB56E1">
              <w:t>ЦОД</w:t>
            </w:r>
            <w:r w:rsidRPr="00FB56E1">
              <w:t>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4"/>
              </w:numPr>
              <w:spacing w:after="120"/>
              <w:ind w:right="170"/>
              <w:contextualSpacing/>
              <w:jc w:val="both"/>
            </w:pPr>
            <w:r w:rsidRPr="00FB56E1">
              <w:t>Порядок ввоза/вывоза оборудования Заказчика;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>Копии сертификатов и документов, подтверждающие статусы и форму собственности;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>Правила пропускного режима Исполнителя;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 xml:space="preserve">Правила </w:t>
            </w:r>
            <w:proofErr w:type="spellStart"/>
            <w:r w:rsidRPr="00FB56E1">
              <w:t>внутриобъектового</w:t>
            </w:r>
            <w:proofErr w:type="spellEnd"/>
            <w:r w:rsidRPr="00FB56E1">
              <w:t xml:space="preserve"> режима Исполнителя;</w:t>
            </w:r>
          </w:p>
          <w:p w:rsidR="009866B7" w:rsidRPr="00FB56E1" w:rsidRDefault="009866B7" w:rsidP="00FB56E1">
            <w:pPr>
              <w:keepNext/>
              <w:keepLines/>
              <w:numPr>
                <w:ilvl w:val="0"/>
                <w:numId w:val="43"/>
              </w:numPr>
              <w:spacing w:after="120"/>
              <w:ind w:right="170"/>
              <w:contextualSpacing/>
              <w:jc w:val="both"/>
            </w:pPr>
            <w:r w:rsidRPr="00FB56E1">
              <w:t xml:space="preserve">Фотографии </w:t>
            </w:r>
            <w:r w:rsidR="00736CBE" w:rsidRPr="00FB56E1">
              <w:t>ЦОД</w:t>
            </w:r>
            <w:r w:rsidRPr="00FB56E1">
              <w:t>.</w:t>
            </w:r>
            <w:bookmarkEnd w:id="22"/>
            <w:bookmarkEnd w:id="23"/>
            <w:bookmarkEnd w:id="24"/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center"/>
              <w:outlineLvl w:val="1"/>
              <w:rPr>
                <w:rFonts w:eastAsia="Batang"/>
              </w:rPr>
            </w:pPr>
            <w:bookmarkStart w:id="25" w:name="_Toc399944259"/>
            <w:r w:rsidRPr="00FB56E1">
              <w:rPr>
                <w:rFonts w:eastAsia="Batang"/>
              </w:rPr>
              <w:t>3.8. Специальные требования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outlineLvl w:val="1"/>
              <w:rPr>
                <w:rFonts w:eastAsia="Batang"/>
              </w:rPr>
            </w:pPr>
            <w:r w:rsidRPr="00FB56E1">
              <w:rPr>
                <w:rFonts w:eastAsia="Batang"/>
              </w:rPr>
              <w:t>Требования к серверным стойкам</w:t>
            </w:r>
            <w:bookmarkEnd w:id="25"/>
            <w:r w:rsidRPr="00FB56E1">
              <w:rPr>
                <w:rFonts w:eastAsia="Batang"/>
              </w:rPr>
              <w:t>: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Высота серверной стойки: 42 юнита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Ширина серверной стоки:19"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Несущая способность (статическая нагрузка): 1363.64 кг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lastRenderedPageBreak/>
              <w:t>Несущая способность (динамическая нагрузка): 1022.73 кг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Минимальная глубина монтажа: 191.00 мм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Максимальная глубина монтажа: 915.00 мм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Дверцы и боковые панели под один ключ. 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Предварительно установленные ролики, боковые панели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Каждая стойка укомплектована двумя именительными блоками 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распределения питания со следующими характеристиками: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номинальное выходное напряжение: 230V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максимальная полная токовая нагрузка на фазу: 32A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выходные соединения: (36 шт.) IEC 320 C13, (6шт.) IEC 320 C19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Каждая стойка должна иметь подключение к СКС (структурированная кабельная система) со следующими характеристиками: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оборудование и материалы СКС SYSTIMAX® </w:t>
            </w:r>
            <w:proofErr w:type="spellStart"/>
            <w:r w:rsidRPr="00FB56E1">
              <w:rPr>
                <w:rFonts w:eastAsia="Batang"/>
              </w:rPr>
              <w:t>GigaSPEED</w:t>
            </w:r>
            <w:proofErr w:type="spellEnd"/>
            <w:r w:rsidRPr="00FB56E1">
              <w:rPr>
                <w:rFonts w:eastAsia="Batang"/>
              </w:rPr>
              <w:t xml:space="preserve"> XL™, </w:t>
            </w:r>
            <w:proofErr w:type="spellStart"/>
            <w:r w:rsidRPr="00FB56E1">
              <w:rPr>
                <w:rFonts w:eastAsia="Batang"/>
              </w:rPr>
              <w:t>LazrSpeed</w:t>
            </w:r>
            <w:proofErr w:type="spellEnd"/>
            <w:r w:rsidRPr="00FB56E1">
              <w:rPr>
                <w:rFonts w:eastAsia="Batang"/>
              </w:rPr>
              <w:t xml:space="preserve"> </w:t>
            </w:r>
            <w:proofErr w:type="gramStart"/>
            <w:r w:rsidRPr="00FB56E1">
              <w:rPr>
                <w:rFonts w:eastAsia="Batang"/>
              </w:rPr>
              <w:t>550  фирмы</w:t>
            </w:r>
            <w:proofErr w:type="gramEnd"/>
            <w:r w:rsidRPr="00FB56E1">
              <w:rPr>
                <w:rFonts w:eastAsia="Batang"/>
              </w:rPr>
              <w:t xml:space="preserve"> </w:t>
            </w:r>
            <w:proofErr w:type="spellStart"/>
            <w:r w:rsidRPr="00FB56E1">
              <w:rPr>
                <w:rFonts w:eastAsia="Batang"/>
              </w:rPr>
              <w:t>Commscope</w:t>
            </w:r>
            <w:proofErr w:type="spellEnd"/>
            <w:r w:rsidRPr="00FB56E1">
              <w:rPr>
                <w:rFonts w:eastAsia="Batang"/>
              </w:rPr>
              <w:t>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стойка должна иметь подключения к двум зонам MDA (</w:t>
            </w:r>
            <w:proofErr w:type="spellStart"/>
            <w:r w:rsidRPr="00FB56E1">
              <w:rPr>
                <w:rFonts w:eastAsia="Batang"/>
              </w:rPr>
              <w:t>Main</w:t>
            </w:r>
            <w:proofErr w:type="spellEnd"/>
            <w:r w:rsidRPr="00FB56E1">
              <w:rPr>
                <w:rFonts w:eastAsia="Batang"/>
              </w:rPr>
              <w:t xml:space="preserve"> </w:t>
            </w:r>
            <w:proofErr w:type="spellStart"/>
            <w:r w:rsidRPr="00FB56E1">
              <w:rPr>
                <w:rFonts w:eastAsia="Batang"/>
              </w:rPr>
              <w:t>Distribution</w:t>
            </w:r>
            <w:proofErr w:type="spellEnd"/>
            <w:r w:rsidRPr="00FB56E1">
              <w:rPr>
                <w:rFonts w:eastAsia="Batang"/>
              </w:rPr>
              <w:t xml:space="preserve"> </w:t>
            </w:r>
            <w:proofErr w:type="spellStart"/>
            <w:r w:rsidRPr="00FB56E1">
              <w:rPr>
                <w:rFonts w:eastAsia="Batang"/>
              </w:rPr>
              <w:t>Area</w:t>
            </w:r>
            <w:proofErr w:type="spellEnd"/>
            <w:r w:rsidRPr="00FB56E1">
              <w:rPr>
                <w:rFonts w:eastAsia="Batang"/>
              </w:rPr>
              <w:t>, главная распределительная зона).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Стойка должна иметь по 12 линий кабеля типа витая пара категории 6 с установкой кроссовых панелей с разъемами типа RJ-45 в каждой стойке от каждой из двух MDA;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Стойка должна иметь по 24 оптических волокна с установкой оптических полок с разъемами типа LC в каждой стойке от каждой из двух MDA.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При этом подключение зон MDA должно быть организовано следующим образом: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для обеспечения внешнего ввода необходимо предусмотреть прокладку </w:t>
            </w:r>
            <w:proofErr w:type="spellStart"/>
            <w:r w:rsidRPr="00FB56E1">
              <w:rPr>
                <w:rFonts w:eastAsia="Batang"/>
              </w:rPr>
              <w:t>многомодового</w:t>
            </w:r>
            <w:proofErr w:type="spellEnd"/>
            <w:r w:rsidRPr="00FB56E1">
              <w:rPr>
                <w:rFonts w:eastAsia="Batang"/>
              </w:rPr>
              <w:t xml:space="preserve"> оптоволоконного кабеля количеством волокон 24 и </w:t>
            </w:r>
            <w:proofErr w:type="spellStart"/>
            <w:r w:rsidRPr="00FB56E1">
              <w:rPr>
                <w:rFonts w:eastAsia="Batang"/>
              </w:rPr>
              <w:t>одномодового</w:t>
            </w:r>
            <w:proofErr w:type="spellEnd"/>
            <w:r w:rsidRPr="00FB56E1">
              <w:rPr>
                <w:rFonts w:eastAsia="Batang"/>
              </w:rPr>
              <w:t xml:space="preserve"> оптоволоконного кабеля с количеством волокон 24 до каждой из зон MDA и установкой оптических полок с разъемами типа LC;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Для обеспечения внешнего ввода необходимо предусмотреть прокладку 24 линии кабеля типа витая пара категории 6 до каждой из зон MDA с установкой кроссовых панелей с разъемами типа RJ-45.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 xml:space="preserve">Для соединения зон MDA (MDA1 и MDA2) необходимо предусмотреть прокладку </w:t>
            </w:r>
            <w:proofErr w:type="spellStart"/>
            <w:r w:rsidRPr="00FB56E1">
              <w:rPr>
                <w:rFonts w:eastAsia="Batang"/>
              </w:rPr>
              <w:t>многомодового</w:t>
            </w:r>
            <w:proofErr w:type="spellEnd"/>
            <w:r w:rsidRPr="00FB56E1">
              <w:rPr>
                <w:rFonts w:eastAsia="Batang"/>
              </w:rPr>
              <w:t xml:space="preserve"> оптоволоконного кабеля с количеством волокон </w:t>
            </w:r>
            <w:proofErr w:type="gramStart"/>
            <w:r w:rsidRPr="00FB56E1">
              <w:rPr>
                <w:rFonts w:eastAsia="Batang"/>
              </w:rPr>
              <w:t>96  и</w:t>
            </w:r>
            <w:proofErr w:type="gramEnd"/>
            <w:r w:rsidRPr="00FB56E1">
              <w:rPr>
                <w:rFonts w:eastAsia="Batang"/>
              </w:rPr>
              <w:t xml:space="preserve"> </w:t>
            </w:r>
            <w:proofErr w:type="spellStart"/>
            <w:r w:rsidRPr="00FB56E1">
              <w:rPr>
                <w:rFonts w:eastAsia="Batang"/>
              </w:rPr>
              <w:t>одномодового</w:t>
            </w:r>
            <w:proofErr w:type="spellEnd"/>
            <w:r w:rsidRPr="00FB56E1">
              <w:rPr>
                <w:rFonts w:eastAsia="Batang"/>
              </w:rPr>
              <w:t xml:space="preserve"> оптоволоконного кабеля с количеством волокон 24 и установкой оптических полок с разъемами типа LC.</w:t>
            </w:r>
          </w:p>
          <w:p w:rsidR="009866B7" w:rsidRPr="00FB56E1" w:rsidRDefault="009866B7" w:rsidP="00FB56E1">
            <w:pPr>
              <w:keepNext/>
              <w:keepLines/>
              <w:spacing w:after="120"/>
              <w:contextualSpacing/>
              <w:jc w:val="both"/>
              <w:rPr>
                <w:rFonts w:eastAsia="Batang"/>
              </w:rPr>
            </w:pPr>
            <w:r w:rsidRPr="00FB56E1">
              <w:rPr>
                <w:rFonts w:eastAsia="Batang"/>
              </w:rPr>
              <w:t>Для соединения зон MDA (MDA1 и MDA2) необходимо предусмотреть прокладку 48 линии кабеля типа витая пара категории 6 с установкой кроссовых панелей с разъемами типа RJ-45.</w:t>
            </w:r>
          </w:p>
        </w:tc>
      </w:tr>
    </w:tbl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</w:p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  <w:r w:rsidRPr="00FB56E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ind w:right="170"/>
              <w:jc w:val="both"/>
              <w:outlineLvl w:val="2"/>
              <w:rPr>
                <w:color w:val="000000"/>
              </w:rPr>
            </w:pPr>
            <w:r w:rsidRPr="00FB56E1">
              <w:rPr>
                <w:color w:val="000000"/>
              </w:rPr>
              <w:t xml:space="preserve">Условием удовлетворения потребности Заказчика в результате проведения процедуры закупки является </w:t>
            </w:r>
            <w:proofErr w:type="gramStart"/>
            <w:r w:rsidRPr="00FB56E1">
              <w:rPr>
                <w:color w:val="000000"/>
              </w:rPr>
              <w:t>надежное  и</w:t>
            </w:r>
            <w:proofErr w:type="gramEnd"/>
            <w:r w:rsidRPr="00FB56E1">
              <w:rPr>
                <w:color w:val="000000"/>
              </w:rPr>
              <w:t xml:space="preserve"> качественное оказание комплекса Услуг Исполнителем по функционированию резервного центра обработки </w:t>
            </w:r>
            <w:r w:rsidRPr="00FB56E1">
              <w:rPr>
                <w:color w:val="000000"/>
              </w:rPr>
              <w:lastRenderedPageBreak/>
              <w:t>данных  Заказчика с учетом требований настоящего технического задания.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both"/>
            </w:pPr>
            <w:r w:rsidRPr="00FB56E1">
              <w:t>Условия сдачи и приемки услуг излагаются в Договоре. Дополнительных требований по содержанию отчетной, технической и иной документации, подлежащей оформлению и приёмке услуги за отчётный период не предъявляется.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i/>
                <w:color w:val="000000"/>
              </w:rPr>
            </w:pPr>
            <w:r w:rsidRPr="00FB56E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866B7" w:rsidRPr="00FB56E1" w:rsidTr="007E78A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66B7" w:rsidRPr="00FB56E1" w:rsidRDefault="009866B7" w:rsidP="00FB56E1">
            <w:pPr>
              <w:keepNext/>
              <w:keepLines/>
              <w:spacing w:after="120"/>
              <w:contextualSpacing/>
              <w:rPr>
                <w:color w:val="000000"/>
              </w:rPr>
            </w:pPr>
            <w:r w:rsidRPr="00FB56E1">
              <w:rPr>
                <w:color w:val="000000"/>
              </w:rPr>
              <w:t>Не предъявляется</w:t>
            </w:r>
          </w:p>
        </w:tc>
      </w:tr>
    </w:tbl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  <w:lang w:val="en-US"/>
        </w:rPr>
      </w:pPr>
    </w:p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  <w:r w:rsidRPr="00FB56E1">
        <w:rPr>
          <w:color w:val="000000"/>
        </w:rPr>
        <w:t>РАЗДЕЛ 5.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8"/>
        <w:gridCol w:w="2369"/>
        <w:gridCol w:w="6302"/>
      </w:tblGrid>
      <w:tr w:rsidR="009866B7" w:rsidRPr="00FB56E1" w:rsidTr="007E78A0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№ п/п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Сокращение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Расшифровка сокращения</w:t>
            </w:r>
          </w:p>
        </w:tc>
      </w:tr>
      <w:tr w:rsidR="009866B7" w:rsidRPr="00FB56E1" w:rsidTr="007E78A0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B7" w:rsidRPr="00FB56E1" w:rsidRDefault="009866B7" w:rsidP="00FB56E1">
            <w:pPr>
              <w:keepNext/>
              <w:keepLines/>
              <w:spacing w:after="120"/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АВР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Автоматический ввод резерва</w:t>
            </w:r>
          </w:p>
        </w:tc>
      </w:tr>
      <w:tr w:rsidR="009866B7" w:rsidRPr="00FB56E1" w:rsidTr="007E78A0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ИБП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Источник бесперебойного питания</w:t>
            </w:r>
          </w:p>
        </w:tc>
      </w:tr>
      <w:tr w:rsidR="009866B7" w:rsidRPr="00FB56E1" w:rsidTr="007E78A0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ДГУ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Дизельная генераторная установка</w:t>
            </w:r>
          </w:p>
        </w:tc>
      </w:tr>
      <w:tr w:rsidR="009866B7" w:rsidRPr="00FB56E1" w:rsidTr="007E78A0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ПО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Программное обеспечение</w:t>
            </w:r>
          </w:p>
        </w:tc>
      </w:tr>
      <w:tr w:rsidR="009866B7" w:rsidRPr="00FB56E1" w:rsidTr="007E78A0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СМС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</w:pPr>
            <w:r w:rsidRPr="00FB56E1">
              <w:t>Служба мгновенных сообщений</w:t>
            </w:r>
          </w:p>
        </w:tc>
      </w:tr>
      <w:tr w:rsidR="009866B7" w:rsidRPr="00FB56E1" w:rsidTr="007E78A0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  <w:rPr>
                <w:highlight w:val="yellow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  <w:ind w:right="284"/>
            </w:pPr>
            <w:r w:rsidRPr="00FB56E1">
              <w:t>ЦОД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B7" w:rsidRPr="00FB56E1" w:rsidRDefault="009866B7" w:rsidP="00FB56E1">
            <w:pPr>
              <w:keepNext/>
              <w:keepLines/>
              <w:spacing w:after="120"/>
              <w:ind w:right="284"/>
            </w:pPr>
            <w:r w:rsidRPr="00FB56E1">
              <w:t>Центр Обработки Данных</w:t>
            </w:r>
          </w:p>
        </w:tc>
      </w:tr>
      <w:tr w:rsidR="007C0144" w:rsidRPr="00FB56E1" w:rsidTr="007E78A0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144" w:rsidRPr="00FB56E1" w:rsidRDefault="007C0144" w:rsidP="00FB56E1">
            <w:pPr>
              <w:keepNext/>
              <w:keepLines/>
              <w:spacing w:after="120"/>
              <w:rPr>
                <w:highlight w:val="yellow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144" w:rsidRPr="00FB56E1" w:rsidRDefault="007C0144" w:rsidP="00FB56E1">
            <w:pPr>
              <w:keepNext/>
              <w:keepLines/>
              <w:spacing w:after="120"/>
              <w:ind w:right="284"/>
            </w:pPr>
            <w:r>
              <w:t>МКАД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144" w:rsidRPr="00FB56E1" w:rsidRDefault="007C0144" w:rsidP="00FB56E1">
            <w:pPr>
              <w:keepNext/>
              <w:keepLines/>
              <w:spacing w:after="120"/>
              <w:ind w:right="284"/>
            </w:pPr>
            <w:r>
              <w:t>Московская кольцевая автомобильная дорога</w:t>
            </w:r>
          </w:p>
        </w:tc>
      </w:tr>
    </w:tbl>
    <w:p w:rsidR="005A2A9F" w:rsidRPr="00FB56E1" w:rsidRDefault="005A2A9F" w:rsidP="00FB56E1">
      <w:pPr>
        <w:keepNext/>
        <w:keepLines/>
        <w:spacing w:after="120"/>
        <w:ind w:firstLine="567"/>
        <w:jc w:val="both"/>
        <w:rPr>
          <w:color w:val="000000"/>
        </w:rPr>
      </w:pPr>
    </w:p>
    <w:p w:rsidR="009866B7" w:rsidRPr="00FB56E1" w:rsidRDefault="009866B7" w:rsidP="00FB56E1">
      <w:pPr>
        <w:keepNext/>
        <w:keepLines/>
        <w:spacing w:after="120"/>
        <w:jc w:val="center"/>
        <w:rPr>
          <w:color w:val="000000"/>
        </w:rPr>
      </w:pPr>
      <w:r w:rsidRPr="00FB56E1">
        <w:rPr>
          <w:color w:val="000000"/>
        </w:rPr>
        <w:t>РАЗДЕЛ 6.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9866B7" w:rsidRPr="00FB56E1" w:rsidTr="007E78A0">
        <w:tc>
          <w:tcPr>
            <w:tcW w:w="1682" w:type="dxa"/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Номер страницы</w:t>
            </w:r>
          </w:p>
        </w:tc>
      </w:tr>
      <w:tr w:rsidR="009866B7" w:rsidRPr="00FB56E1" w:rsidTr="007E78A0">
        <w:tc>
          <w:tcPr>
            <w:tcW w:w="1682" w:type="dxa"/>
            <w:vAlign w:val="center"/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9866B7" w:rsidRPr="00FB56E1" w:rsidRDefault="009866B7" w:rsidP="00FB56E1">
            <w:pPr>
              <w:keepNext/>
              <w:keepLines/>
              <w:spacing w:after="120"/>
              <w:contextualSpacing/>
              <w:outlineLvl w:val="0"/>
              <w:rPr>
                <w:spacing w:val="-10"/>
                <w:kern w:val="28"/>
              </w:rPr>
            </w:pPr>
            <w:bookmarkStart w:id="26" w:name="_Toc399944270"/>
            <w:r w:rsidRPr="00FB56E1">
              <w:rPr>
                <w:spacing w:val="-10"/>
                <w:kern w:val="28"/>
              </w:rPr>
              <w:t>Коммерческое предложение на услуги</w:t>
            </w:r>
            <w:bookmarkEnd w:id="26"/>
          </w:p>
          <w:p w:rsidR="009866B7" w:rsidRPr="00FB56E1" w:rsidRDefault="009866B7" w:rsidP="00FB56E1">
            <w:pPr>
              <w:keepNext/>
              <w:keepLines/>
              <w:spacing w:after="120"/>
              <w:jc w:val="both"/>
              <w:rPr>
                <w:b/>
                <w:color w:val="000000"/>
              </w:rPr>
            </w:pPr>
          </w:p>
        </w:tc>
        <w:tc>
          <w:tcPr>
            <w:tcW w:w="2099" w:type="dxa"/>
          </w:tcPr>
          <w:p w:rsidR="009866B7" w:rsidRPr="00FB56E1" w:rsidRDefault="00FB56E1" w:rsidP="00FB56E1">
            <w:pPr>
              <w:keepNext/>
              <w:keepLines/>
              <w:spacing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  <w:tr w:rsidR="009866B7" w:rsidRPr="00FB56E1" w:rsidTr="007E78A0">
        <w:tc>
          <w:tcPr>
            <w:tcW w:w="1682" w:type="dxa"/>
            <w:vAlign w:val="center"/>
          </w:tcPr>
          <w:p w:rsidR="009866B7" w:rsidRPr="00FB56E1" w:rsidRDefault="009866B7" w:rsidP="00FB56E1">
            <w:pPr>
              <w:keepNext/>
              <w:keepLines/>
              <w:spacing w:after="120"/>
              <w:jc w:val="center"/>
              <w:rPr>
                <w:color w:val="000000"/>
              </w:rPr>
            </w:pPr>
            <w:r w:rsidRPr="00FB56E1">
              <w:rPr>
                <w:color w:val="000000"/>
              </w:rPr>
              <w:t>2</w:t>
            </w:r>
          </w:p>
        </w:tc>
        <w:tc>
          <w:tcPr>
            <w:tcW w:w="5858" w:type="dxa"/>
          </w:tcPr>
          <w:p w:rsidR="009866B7" w:rsidRPr="00FB56E1" w:rsidRDefault="009866B7" w:rsidP="00FB56E1">
            <w:pPr>
              <w:keepNext/>
              <w:keepLines/>
              <w:spacing w:after="120"/>
              <w:rPr>
                <w:color w:val="000000"/>
              </w:rPr>
            </w:pPr>
            <w:r w:rsidRPr="00FB56E1">
              <w:rPr>
                <w:spacing w:val="-10"/>
                <w:kern w:val="28"/>
              </w:rPr>
              <w:t>Таблицы технических характеристик</w:t>
            </w:r>
          </w:p>
        </w:tc>
        <w:tc>
          <w:tcPr>
            <w:tcW w:w="2099" w:type="dxa"/>
          </w:tcPr>
          <w:p w:rsidR="009866B7" w:rsidRPr="00FB56E1" w:rsidRDefault="00FB56E1" w:rsidP="00FB56E1">
            <w:pPr>
              <w:keepNext/>
              <w:keepLines/>
              <w:spacing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</w:tbl>
    <w:p w:rsidR="009866B7" w:rsidRPr="00135AE9" w:rsidRDefault="009866B7" w:rsidP="00FB56E1">
      <w:pPr>
        <w:keepNext/>
        <w:keepLines/>
        <w:jc w:val="center"/>
        <w:outlineLvl w:val="0"/>
      </w:pPr>
    </w:p>
    <w:p w:rsidR="009866B7" w:rsidRPr="00135AE9" w:rsidRDefault="009866B7" w:rsidP="00FB56E1">
      <w:pPr>
        <w:keepNext/>
        <w:keepLines/>
      </w:pPr>
    </w:p>
    <w:p w:rsidR="009866B7" w:rsidRPr="00135AE9" w:rsidRDefault="009866B7" w:rsidP="00FB56E1">
      <w:pPr>
        <w:keepNext/>
        <w:keepLines/>
      </w:pPr>
    </w:p>
    <w:p w:rsidR="00B2155D" w:rsidRDefault="00B2155D" w:rsidP="00FB56E1">
      <w:pPr>
        <w:keepNext/>
        <w:keepLines/>
      </w:pPr>
    </w:p>
    <w:p w:rsidR="0095797C" w:rsidRDefault="0095797C" w:rsidP="00FB56E1">
      <w:pPr>
        <w:keepNext/>
        <w:keepLines/>
      </w:pPr>
    </w:p>
    <w:p w:rsidR="0095797C" w:rsidRDefault="0095797C" w:rsidP="00FB56E1">
      <w:pPr>
        <w:keepNext/>
        <w:keepLines/>
      </w:pPr>
    </w:p>
    <w:p w:rsidR="0095797C" w:rsidRDefault="0095797C" w:rsidP="00FB56E1">
      <w:pPr>
        <w:keepNext/>
        <w:keepLines/>
      </w:pPr>
    </w:p>
    <w:p w:rsidR="0095797C" w:rsidRDefault="0095797C" w:rsidP="00FB56E1">
      <w:pPr>
        <w:keepNext/>
        <w:keepLines/>
      </w:pPr>
    </w:p>
    <w:p w:rsidR="00FB56E1" w:rsidRDefault="00FB56E1" w:rsidP="00FB56E1">
      <w:pPr>
        <w:keepNext/>
        <w:keepLines/>
      </w:pPr>
    </w:p>
    <w:p w:rsidR="00FB56E1" w:rsidRDefault="00FB56E1" w:rsidP="00FB56E1">
      <w:pPr>
        <w:keepNext/>
        <w:keepLines/>
      </w:pPr>
    </w:p>
    <w:p w:rsidR="0095797C" w:rsidRDefault="0095797C" w:rsidP="00FB56E1">
      <w:pPr>
        <w:keepNext/>
        <w:keepLines/>
      </w:pPr>
    </w:p>
    <w:p w:rsidR="0095797C" w:rsidRDefault="0095797C" w:rsidP="00FB56E1">
      <w:pPr>
        <w:keepNext/>
        <w:keepLines/>
        <w:ind w:left="851"/>
        <w:contextualSpacing/>
        <w:jc w:val="right"/>
        <w:outlineLvl w:val="0"/>
        <w:rPr>
          <w:color w:val="000000"/>
          <w:spacing w:val="-10"/>
          <w:kern w:val="28"/>
          <w:lang w:eastAsia="it-IT"/>
        </w:rPr>
      </w:pPr>
      <w:bookmarkStart w:id="27" w:name="_Toc399944272"/>
      <w:r>
        <w:rPr>
          <w:color w:val="000000"/>
          <w:spacing w:val="-10"/>
          <w:kern w:val="28"/>
          <w:lang w:eastAsia="it-IT"/>
        </w:rPr>
        <w:lastRenderedPageBreak/>
        <w:t>Приложение №1 к Т</w:t>
      </w:r>
      <w:r w:rsidRPr="004863E1">
        <w:rPr>
          <w:color w:val="000000"/>
          <w:spacing w:val="-10"/>
          <w:kern w:val="28"/>
          <w:lang w:eastAsia="it-IT"/>
        </w:rPr>
        <w:t>ехническому заданию</w:t>
      </w:r>
      <w:bookmarkEnd w:id="27"/>
    </w:p>
    <w:p w:rsidR="0095797C" w:rsidRPr="00135AE9" w:rsidRDefault="0095797C" w:rsidP="00FB56E1">
      <w:pPr>
        <w:keepNext/>
        <w:keepLines/>
        <w:rPr>
          <w:lang w:eastAsia="it-IT"/>
        </w:rPr>
      </w:pPr>
    </w:p>
    <w:p w:rsidR="0095797C" w:rsidRPr="00135AE9" w:rsidRDefault="0095797C" w:rsidP="00FB56E1">
      <w:pPr>
        <w:keepNext/>
        <w:keepLines/>
        <w:ind w:left="284" w:hanging="284"/>
        <w:contextualSpacing/>
        <w:jc w:val="center"/>
        <w:outlineLvl w:val="0"/>
        <w:rPr>
          <w:b/>
          <w:color w:val="000000"/>
          <w:spacing w:val="-10"/>
          <w:kern w:val="28"/>
        </w:rPr>
      </w:pPr>
      <w:bookmarkStart w:id="28" w:name="_Toc399944273"/>
      <w:r w:rsidRPr="00135AE9">
        <w:rPr>
          <w:b/>
          <w:color w:val="000000"/>
          <w:spacing w:val="-10"/>
          <w:kern w:val="28"/>
          <w:lang w:eastAsia="it-IT"/>
        </w:rPr>
        <w:t>Коммерческое предложение на услуги</w:t>
      </w:r>
      <w:bookmarkEnd w:id="28"/>
    </w:p>
    <w:p w:rsidR="0095797C" w:rsidRPr="00135AE9" w:rsidRDefault="0095797C" w:rsidP="00FB56E1">
      <w:pPr>
        <w:keepNext/>
        <w:keepLines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5797C" w:rsidRPr="00135AE9" w:rsidTr="00CF5E08">
        <w:tc>
          <w:tcPr>
            <w:tcW w:w="9570" w:type="dxa"/>
            <w:gridSpan w:val="2"/>
          </w:tcPr>
          <w:p w:rsidR="0095797C" w:rsidRPr="00135AE9" w:rsidRDefault="0095797C" w:rsidP="00FB56E1">
            <w:pPr>
              <w:keepNext/>
              <w:keepLines/>
              <w:rPr>
                <w:b/>
                <w:szCs w:val="24"/>
              </w:rPr>
            </w:pPr>
            <w:r w:rsidRPr="00135AE9">
              <w:rPr>
                <w:b/>
                <w:szCs w:val="24"/>
              </w:rPr>
              <w:t>Коммерческое предложение на услуги аренды серверных стоек для нужд АО «Техснабэкспорт»</w:t>
            </w:r>
          </w:p>
        </w:tc>
      </w:tr>
      <w:tr w:rsidR="0095797C" w:rsidRPr="00135AE9" w:rsidTr="00CF5E08"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b/>
                <w:szCs w:val="24"/>
              </w:rPr>
            </w:pPr>
            <w:r w:rsidRPr="00135AE9">
              <w:rPr>
                <w:b/>
                <w:szCs w:val="24"/>
              </w:rPr>
              <w:t>Компания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b/>
                <w:szCs w:val="24"/>
              </w:rPr>
            </w:pPr>
          </w:p>
        </w:tc>
      </w:tr>
      <w:tr w:rsidR="0095797C" w:rsidRPr="00135AE9" w:rsidTr="00CF5E08">
        <w:tc>
          <w:tcPr>
            <w:tcW w:w="9570" w:type="dxa"/>
            <w:gridSpan w:val="2"/>
          </w:tcPr>
          <w:p w:rsidR="0095797C" w:rsidRPr="00135AE9" w:rsidRDefault="0095797C" w:rsidP="00FB56E1">
            <w:pPr>
              <w:keepNext/>
              <w:keepLines/>
              <w:rPr>
                <w:b/>
                <w:szCs w:val="24"/>
              </w:rPr>
            </w:pPr>
            <w:proofErr w:type="spellStart"/>
            <w:r w:rsidRPr="00135AE9">
              <w:rPr>
                <w:b/>
                <w:szCs w:val="24"/>
                <w:lang w:val="en-US"/>
              </w:rPr>
              <w:t>Общая</w:t>
            </w:r>
            <w:proofErr w:type="spellEnd"/>
            <w:r w:rsidRPr="00135AE9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135AE9">
              <w:rPr>
                <w:b/>
                <w:szCs w:val="24"/>
                <w:lang w:val="en-US"/>
              </w:rPr>
              <w:t>информация</w:t>
            </w:r>
            <w:proofErr w:type="spellEnd"/>
          </w:p>
        </w:tc>
      </w:tr>
      <w:tr w:rsidR="0095797C" w:rsidRPr="00135AE9" w:rsidTr="00CF5E08"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  <w:r w:rsidRPr="00135AE9">
              <w:rPr>
                <w:szCs w:val="24"/>
              </w:rPr>
              <w:t xml:space="preserve">Адрес местоположения </w:t>
            </w:r>
            <w:r w:rsidR="00736CBE">
              <w:rPr>
                <w:szCs w:val="24"/>
              </w:rPr>
              <w:t>ЦОД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</w:p>
        </w:tc>
      </w:tr>
      <w:tr w:rsidR="0095797C" w:rsidRPr="00135AE9" w:rsidTr="00CF5E08"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  <w:r w:rsidRPr="00135AE9">
              <w:rPr>
                <w:szCs w:val="24"/>
              </w:rPr>
              <w:t xml:space="preserve">Собственник </w:t>
            </w:r>
            <w:r w:rsidR="00736CBE">
              <w:rPr>
                <w:szCs w:val="24"/>
              </w:rPr>
              <w:t>ЦОД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</w:p>
        </w:tc>
      </w:tr>
      <w:tr w:rsidR="0095797C" w:rsidRPr="00135AE9" w:rsidTr="00CF5E08"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  <w:r w:rsidRPr="00135AE9">
              <w:rPr>
                <w:szCs w:val="24"/>
              </w:rPr>
              <w:t>Срок договора аренды (если помещение не в собственности)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</w:p>
        </w:tc>
      </w:tr>
      <w:tr w:rsidR="0095797C" w:rsidRPr="00135AE9" w:rsidTr="00CF5E08"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  <w:r w:rsidRPr="00135AE9">
              <w:rPr>
                <w:szCs w:val="24"/>
              </w:rPr>
              <w:t xml:space="preserve">Общее количество стоек располагающихся в </w:t>
            </w:r>
            <w:r w:rsidR="00736CBE">
              <w:rPr>
                <w:szCs w:val="24"/>
              </w:rPr>
              <w:t>ЦОД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</w:p>
        </w:tc>
      </w:tr>
      <w:tr w:rsidR="0095797C" w:rsidRPr="00135AE9" w:rsidTr="00CF5E08"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  <w:proofErr w:type="gramStart"/>
            <w:r w:rsidRPr="00135AE9">
              <w:rPr>
                <w:szCs w:val="24"/>
              </w:rPr>
              <w:t>Средняя мощность</w:t>
            </w:r>
            <w:proofErr w:type="gramEnd"/>
            <w:r w:rsidRPr="00135AE9">
              <w:rPr>
                <w:szCs w:val="24"/>
              </w:rPr>
              <w:t xml:space="preserve"> подводимая к стойке, КВт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</w:p>
        </w:tc>
      </w:tr>
      <w:tr w:rsidR="0095797C" w:rsidRPr="00135AE9" w:rsidTr="00CF5E08">
        <w:tc>
          <w:tcPr>
            <w:tcW w:w="9570" w:type="dxa"/>
            <w:gridSpan w:val="2"/>
          </w:tcPr>
          <w:p w:rsidR="0095797C" w:rsidRPr="00135AE9" w:rsidRDefault="0095797C" w:rsidP="00FB56E1">
            <w:pPr>
              <w:keepNext/>
              <w:keepLines/>
              <w:rPr>
                <w:b/>
                <w:szCs w:val="24"/>
              </w:rPr>
            </w:pPr>
            <w:r w:rsidRPr="00135AE9">
              <w:rPr>
                <w:b/>
                <w:szCs w:val="24"/>
              </w:rPr>
              <w:t>Стоимостная часть коммерческого предложения, руб. включая НДС</w:t>
            </w:r>
          </w:p>
        </w:tc>
      </w:tr>
      <w:tr w:rsidR="0095797C" w:rsidRPr="00135AE9" w:rsidTr="00CF5E08">
        <w:tc>
          <w:tcPr>
            <w:tcW w:w="4785" w:type="dxa"/>
            <w:vAlign w:val="center"/>
          </w:tcPr>
          <w:p w:rsidR="0095797C" w:rsidRPr="00135AE9" w:rsidRDefault="0095797C" w:rsidP="00FB56E1">
            <w:pPr>
              <w:keepNext/>
              <w:keepLines/>
              <w:snapToGrid w:val="0"/>
              <w:spacing w:before="40" w:after="40" w:line="288" w:lineRule="auto"/>
              <w:rPr>
                <w:szCs w:val="24"/>
              </w:rPr>
            </w:pPr>
            <w:r w:rsidRPr="00135AE9">
              <w:rPr>
                <w:szCs w:val="24"/>
              </w:rPr>
              <w:t>Обеспечение условий для функционирования стандартной серверной стойки (ширина – 600мм) с максимальным энергопотреблением до 5 кВт, 2 шт.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</w:p>
        </w:tc>
      </w:tr>
      <w:tr w:rsidR="0095797C" w:rsidRPr="00135AE9" w:rsidTr="00CF5E08">
        <w:tc>
          <w:tcPr>
            <w:tcW w:w="4785" w:type="dxa"/>
            <w:vAlign w:val="center"/>
          </w:tcPr>
          <w:p w:rsidR="0095797C" w:rsidRPr="00135AE9" w:rsidRDefault="0095797C" w:rsidP="00FB56E1">
            <w:pPr>
              <w:keepNext/>
              <w:keepLines/>
              <w:snapToGrid w:val="0"/>
              <w:spacing w:before="40" w:after="40" w:line="288" w:lineRule="auto"/>
              <w:rPr>
                <w:szCs w:val="24"/>
              </w:rPr>
            </w:pPr>
            <w:r w:rsidRPr="00135AE9">
              <w:rPr>
                <w:szCs w:val="24"/>
              </w:rPr>
              <w:t>Аренда стойки APC 42 юнита, шириной 600мм, и двух блоков распределения питания, 2 шт.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</w:p>
        </w:tc>
      </w:tr>
      <w:tr w:rsidR="0095797C" w:rsidRPr="00135AE9" w:rsidTr="00CF5E08">
        <w:tc>
          <w:tcPr>
            <w:tcW w:w="4785" w:type="dxa"/>
            <w:vAlign w:val="center"/>
          </w:tcPr>
          <w:p w:rsidR="0095797C" w:rsidRPr="00135AE9" w:rsidRDefault="0095797C" w:rsidP="00FB56E1">
            <w:pPr>
              <w:keepNext/>
              <w:keepLines/>
              <w:snapToGrid w:val="0"/>
              <w:spacing w:before="40" w:after="40" w:line="288" w:lineRule="auto"/>
              <w:rPr>
                <w:szCs w:val="24"/>
              </w:rPr>
            </w:pPr>
            <w:r w:rsidRPr="00135AE9">
              <w:rPr>
                <w:szCs w:val="24"/>
              </w:rPr>
              <w:t>Обеспечение дополнительной физической безопасности для стойки APC типа AR3100 и AR3107, передняя и задняя ручки со считывателями магнитных карт, датчики открытия передней и задней дверей, контроллер, 2 шт. Магнитные карты в комплект не входят.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</w:p>
        </w:tc>
      </w:tr>
      <w:tr w:rsidR="0095797C" w:rsidRPr="00135AE9" w:rsidTr="00CF5E08">
        <w:tc>
          <w:tcPr>
            <w:tcW w:w="4785" w:type="dxa"/>
            <w:vAlign w:val="center"/>
          </w:tcPr>
          <w:p w:rsidR="0095797C" w:rsidRPr="00135AE9" w:rsidRDefault="0095797C" w:rsidP="00FB56E1">
            <w:pPr>
              <w:keepNext/>
              <w:keepLines/>
              <w:snapToGrid w:val="0"/>
              <w:spacing w:before="40" w:after="40" w:line="288" w:lineRule="auto"/>
              <w:rPr>
                <w:szCs w:val="24"/>
              </w:rPr>
            </w:pPr>
            <w:r w:rsidRPr="00135AE9">
              <w:rPr>
                <w:szCs w:val="24"/>
              </w:rPr>
              <w:t>Аренда и получение доступа к системе видеонаблюдения за двумя стойко-местами</w:t>
            </w:r>
          </w:p>
        </w:tc>
        <w:tc>
          <w:tcPr>
            <w:tcW w:w="4785" w:type="dxa"/>
          </w:tcPr>
          <w:p w:rsidR="0095797C" w:rsidRPr="00135AE9" w:rsidRDefault="0095797C" w:rsidP="00FB56E1">
            <w:pPr>
              <w:keepNext/>
              <w:keepLines/>
              <w:rPr>
                <w:szCs w:val="24"/>
              </w:rPr>
            </w:pPr>
          </w:p>
        </w:tc>
      </w:tr>
    </w:tbl>
    <w:p w:rsidR="0095797C" w:rsidRPr="00135AE9" w:rsidRDefault="0095797C" w:rsidP="00FB56E1">
      <w:pPr>
        <w:keepNext/>
        <w:keepLines/>
      </w:pPr>
    </w:p>
    <w:p w:rsidR="0095797C" w:rsidRPr="00135AE9" w:rsidRDefault="0095797C" w:rsidP="00FB56E1">
      <w:pPr>
        <w:keepNext/>
        <w:keepLines/>
      </w:pPr>
      <w:r w:rsidRPr="00135AE9">
        <w:br w:type="page"/>
      </w:r>
    </w:p>
    <w:p w:rsidR="0095797C" w:rsidRPr="00160BB3" w:rsidRDefault="0095797C" w:rsidP="00FB56E1">
      <w:pPr>
        <w:keepNext/>
        <w:keepLines/>
        <w:jc w:val="right"/>
        <w:rPr>
          <w:color w:val="000000"/>
          <w:spacing w:val="-10"/>
          <w:kern w:val="28"/>
          <w:lang w:eastAsia="it-IT"/>
        </w:rPr>
      </w:pPr>
      <w:bookmarkStart w:id="29" w:name="_Toc399944274"/>
      <w:r w:rsidRPr="00160BB3">
        <w:rPr>
          <w:color w:val="000000"/>
          <w:spacing w:val="-10"/>
          <w:kern w:val="28"/>
          <w:lang w:eastAsia="it-IT"/>
        </w:rPr>
        <w:lastRenderedPageBreak/>
        <w:t>Приложение №2 к Техническому заданию</w:t>
      </w:r>
    </w:p>
    <w:bookmarkEnd w:id="29"/>
    <w:p w:rsidR="0095797C" w:rsidRPr="00135AE9" w:rsidRDefault="0095797C" w:rsidP="00FB56E1">
      <w:pPr>
        <w:keepNext/>
        <w:keepLines/>
        <w:rPr>
          <w:lang w:eastAsia="it-IT"/>
        </w:rPr>
      </w:pPr>
    </w:p>
    <w:p w:rsidR="0095797C" w:rsidRPr="00135AE9" w:rsidRDefault="0095797C" w:rsidP="00FB56E1">
      <w:pPr>
        <w:keepNext/>
        <w:keepLines/>
        <w:ind w:left="851"/>
        <w:contextualSpacing/>
        <w:jc w:val="center"/>
        <w:outlineLvl w:val="0"/>
        <w:rPr>
          <w:color w:val="000000"/>
          <w:spacing w:val="-10"/>
          <w:kern w:val="28"/>
        </w:rPr>
      </w:pPr>
      <w:bookmarkStart w:id="30" w:name="_Toc399944275"/>
      <w:r w:rsidRPr="00135AE9">
        <w:rPr>
          <w:b/>
          <w:color w:val="000000"/>
          <w:spacing w:val="-10"/>
          <w:kern w:val="28"/>
          <w:lang w:eastAsia="it-IT"/>
        </w:rPr>
        <w:t>Таблицы технических характеристик</w:t>
      </w:r>
      <w:bookmarkEnd w:id="30"/>
    </w:p>
    <w:p w:rsidR="0095797C" w:rsidRPr="00135AE9" w:rsidRDefault="0095797C" w:rsidP="00FB56E1">
      <w:pPr>
        <w:keepNext/>
        <w:keepLines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6"/>
        <w:gridCol w:w="9561"/>
      </w:tblGrid>
      <w:tr w:rsidR="0095797C" w:rsidRPr="00135AE9" w:rsidTr="00CF5E08">
        <w:trPr>
          <w:trHeight w:val="30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№</w:t>
            </w:r>
          </w:p>
        </w:tc>
        <w:tc>
          <w:tcPr>
            <w:tcW w:w="4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Основные контролируемые технические параметры (ОТП)</w:t>
            </w:r>
          </w:p>
        </w:tc>
      </w:tr>
      <w:tr w:rsidR="0095797C" w:rsidRPr="00135AE9" w:rsidTr="00CF5E08">
        <w:trPr>
          <w:trHeight w:val="129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1</w:t>
            </w:r>
          </w:p>
        </w:tc>
        <w:tc>
          <w:tcPr>
            <w:tcW w:w="4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Температура воздуха на входе в стойку со стороны холодного коридора по центру стойки на высоте 1,5 м</w:t>
            </w:r>
            <w:r w:rsidR="00736CBE">
              <w:rPr>
                <w:bCs/>
                <w:sz w:val="20"/>
              </w:rPr>
              <w:t>етра от уровня фальшпола - 22+-5</w:t>
            </w:r>
            <w:r w:rsidRPr="00135AE9">
              <w:rPr>
                <w:bCs/>
                <w:sz w:val="20"/>
              </w:rPr>
              <w:t xml:space="preserve"> градуса Цельсия</w:t>
            </w:r>
          </w:p>
        </w:tc>
      </w:tr>
      <w:tr w:rsidR="0095797C" w:rsidRPr="00135AE9" w:rsidTr="00CF5E08">
        <w:trPr>
          <w:trHeight w:val="300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2</w:t>
            </w:r>
          </w:p>
        </w:tc>
        <w:tc>
          <w:tcPr>
            <w:tcW w:w="4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Влажность воздуха на входе в стойку …  - 50+-10 процентов</w:t>
            </w:r>
          </w:p>
        </w:tc>
      </w:tr>
      <w:tr w:rsidR="0095797C" w:rsidRPr="00135AE9" w:rsidTr="00CF5E08">
        <w:trPr>
          <w:trHeight w:val="66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3</w:t>
            </w:r>
          </w:p>
        </w:tc>
        <w:tc>
          <w:tcPr>
            <w:tcW w:w="4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Наличие чистого электропитания по крайней мере по одному вводу в каждой ИТ-стойке</w:t>
            </w:r>
          </w:p>
        </w:tc>
      </w:tr>
      <w:tr w:rsidR="0095797C" w:rsidRPr="00135AE9" w:rsidTr="00CF5E08">
        <w:trPr>
          <w:trHeight w:val="66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4</w:t>
            </w:r>
          </w:p>
        </w:tc>
        <w:tc>
          <w:tcPr>
            <w:tcW w:w="4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Полная работоспособность систем: видеонаблюдения, пожаротушения, контроля и управления доступом, мониторинга и управления инженерными системами</w:t>
            </w:r>
          </w:p>
        </w:tc>
      </w:tr>
    </w:tbl>
    <w:p w:rsidR="0095797C" w:rsidRPr="00135AE9" w:rsidRDefault="0095797C" w:rsidP="00FB56E1">
      <w:pPr>
        <w:keepNext/>
        <w:keepLines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395"/>
        <w:gridCol w:w="724"/>
        <w:gridCol w:w="842"/>
        <w:gridCol w:w="1224"/>
        <w:gridCol w:w="1925"/>
        <w:gridCol w:w="1887"/>
      </w:tblGrid>
      <w:tr w:rsidR="0095797C" w:rsidRPr="00135AE9" w:rsidTr="00CF5E08">
        <w:trPr>
          <w:trHeight w:val="690"/>
        </w:trPr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Показатель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Кол-во, всего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Кол-во, резерв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Схема резервирования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 xml:space="preserve">Возможность </w:t>
            </w:r>
            <w:r w:rsidRPr="00135AE9">
              <w:rPr>
                <w:b/>
                <w:bCs/>
                <w:sz w:val="20"/>
                <w:u w:val="single"/>
              </w:rPr>
              <w:t>электрической изоляции</w:t>
            </w:r>
            <w:r w:rsidRPr="00135AE9">
              <w:rPr>
                <w:b/>
                <w:bCs/>
                <w:sz w:val="20"/>
              </w:rPr>
              <w:t xml:space="preserve"> основного или резервного без влияния на ОТП (по каждому пункту, 1-2-3-4, да/нет)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 xml:space="preserve">Возможность </w:t>
            </w:r>
            <w:r w:rsidRPr="00135AE9">
              <w:rPr>
                <w:b/>
                <w:bCs/>
                <w:sz w:val="20"/>
                <w:u w:val="single"/>
              </w:rPr>
              <w:t>физической изоляции</w:t>
            </w:r>
            <w:r w:rsidRPr="00135AE9">
              <w:rPr>
                <w:b/>
                <w:bCs/>
                <w:sz w:val="20"/>
              </w:rPr>
              <w:t xml:space="preserve"> основных или резервных без влияния на </w:t>
            </w:r>
            <w:proofErr w:type="gramStart"/>
            <w:r w:rsidRPr="00135AE9">
              <w:rPr>
                <w:b/>
                <w:bCs/>
                <w:sz w:val="20"/>
              </w:rPr>
              <w:t>ОТП(</w:t>
            </w:r>
            <w:proofErr w:type="gramEnd"/>
            <w:r w:rsidRPr="00135AE9">
              <w:rPr>
                <w:b/>
                <w:bCs/>
                <w:sz w:val="20"/>
              </w:rPr>
              <w:t>по каждому пункту, 1-2-3-4, да/нет)</w:t>
            </w: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Электрический ввод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Панель РП (ВРУ)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proofErr w:type="spellStart"/>
            <w:r w:rsidRPr="00135AE9">
              <w:rPr>
                <w:bCs/>
                <w:sz w:val="20"/>
              </w:rPr>
              <w:t>Распред</w:t>
            </w:r>
            <w:proofErr w:type="spellEnd"/>
            <w:r w:rsidRPr="00135AE9">
              <w:rPr>
                <w:bCs/>
                <w:sz w:val="20"/>
              </w:rPr>
              <w:t xml:space="preserve"> линии до трансформаторов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Трансформаторы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proofErr w:type="spellStart"/>
            <w:r w:rsidRPr="00135AE9">
              <w:rPr>
                <w:bCs/>
                <w:sz w:val="20"/>
              </w:rPr>
              <w:t>Распред</w:t>
            </w:r>
            <w:proofErr w:type="spellEnd"/>
            <w:r w:rsidRPr="00135AE9">
              <w:rPr>
                <w:bCs/>
                <w:sz w:val="20"/>
              </w:rPr>
              <w:t xml:space="preserve"> линии от трансформаторов до АВР ДГУ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АВР ДГУ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ДГУ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proofErr w:type="spellStart"/>
            <w:r w:rsidRPr="00135AE9">
              <w:rPr>
                <w:bCs/>
                <w:sz w:val="20"/>
              </w:rPr>
              <w:t>Распред</w:t>
            </w:r>
            <w:proofErr w:type="spellEnd"/>
            <w:r w:rsidRPr="00135AE9">
              <w:rPr>
                <w:bCs/>
                <w:sz w:val="20"/>
              </w:rPr>
              <w:t xml:space="preserve"> устройства ДЭС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Щит собственных нужд ДЭС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Топливные баки ДЭС с обвязкой (насосы, клапаны)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Трубопроводы системы топливоснабжения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Информационная шина ДЭС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proofErr w:type="spellStart"/>
            <w:r w:rsidRPr="00135AE9">
              <w:rPr>
                <w:bCs/>
                <w:sz w:val="20"/>
              </w:rPr>
              <w:t>Распред</w:t>
            </w:r>
            <w:proofErr w:type="spellEnd"/>
            <w:r w:rsidRPr="00135AE9">
              <w:rPr>
                <w:bCs/>
                <w:sz w:val="20"/>
              </w:rPr>
              <w:t xml:space="preserve"> линии от РП ДЭС до АВР ДГУ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ГРЩ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proofErr w:type="spellStart"/>
            <w:r w:rsidRPr="00135AE9">
              <w:rPr>
                <w:bCs/>
                <w:sz w:val="20"/>
              </w:rPr>
              <w:t>Респред</w:t>
            </w:r>
            <w:proofErr w:type="spellEnd"/>
            <w:r w:rsidRPr="00135AE9">
              <w:rPr>
                <w:bCs/>
                <w:sz w:val="20"/>
              </w:rPr>
              <w:t xml:space="preserve"> линии от ГРЩ до ИБП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ИБП машинных залов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proofErr w:type="spellStart"/>
            <w:r w:rsidRPr="00135AE9">
              <w:rPr>
                <w:bCs/>
                <w:sz w:val="20"/>
              </w:rPr>
              <w:t>Распред</w:t>
            </w:r>
            <w:proofErr w:type="spellEnd"/>
            <w:r w:rsidRPr="00135AE9">
              <w:rPr>
                <w:bCs/>
                <w:sz w:val="20"/>
              </w:rPr>
              <w:t xml:space="preserve"> щиты БП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Распределительные и групповые линии от РЩ БП до потребителей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proofErr w:type="spellStart"/>
            <w:r w:rsidRPr="00135AE9">
              <w:rPr>
                <w:bCs/>
                <w:sz w:val="20"/>
              </w:rPr>
              <w:t>Чиллер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 xml:space="preserve">Линии питания </w:t>
            </w:r>
            <w:proofErr w:type="spellStart"/>
            <w:r w:rsidRPr="00135AE9">
              <w:rPr>
                <w:bCs/>
                <w:sz w:val="20"/>
              </w:rPr>
              <w:t>чиллеров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Сухая градирня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Линии питания сухих градирен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Насосы внутреннего контура охлаждения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Линии питания насосов внутреннего контура охлаждения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Насосы внешнего контура охлаждения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lastRenderedPageBreak/>
              <w:t>Линии питания насосов внешнего контура охлаждения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 xml:space="preserve">Шкафные кондиционеры </w:t>
            </w:r>
            <w:proofErr w:type="spellStart"/>
            <w:r w:rsidRPr="00135AE9">
              <w:rPr>
                <w:bCs/>
                <w:sz w:val="20"/>
              </w:rPr>
              <w:t>машзалов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 xml:space="preserve">Линии питания шкафных кондиционеров </w:t>
            </w:r>
            <w:proofErr w:type="spellStart"/>
            <w:r w:rsidRPr="00135AE9">
              <w:rPr>
                <w:bCs/>
                <w:sz w:val="20"/>
              </w:rPr>
              <w:t>машзалов</w:t>
            </w:r>
            <w:proofErr w:type="spellEnd"/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Машины системы охлаждения ИБП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Трубопроводы внутреннего контура охлаждения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Трубопроводы внешнего контура охлаждения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Теплообменные аппараты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1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Накопительные баки охлажденного теплоносителя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  <w:lang w:val="en-US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</w:tbl>
    <w:p w:rsidR="0095797C" w:rsidRPr="00135AE9" w:rsidRDefault="0095797C" w:rsidP="00FB56E1">
      <w:pPr>
        <w:keepNext/>
        <w:keepLines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230"/>
        <w:gridCol w:w="1767"/>
      </w:tblGrid>
      <w:tr w:rsidR="0095797C" w:rsidRPr="00135AE9" w:rsidTr="00CF5E08">
        <w:trPr>
          <w:trHeight w:val="465"/>
        </w:trPr>
        <w:tc>
          <w:tcPr>
            <w:tcW w:w="4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Показатель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Возможность</w:t>
            </w:r>
          </w:p>
        </w:tc>
      </w:tr>
      <w:tr w:rsidR="0095797C" w:rsidRPr="00135AE9" w:rsidTr="00CF5E08">
        <w:trPr>
          <w:trHeight w:val="300"/>
        </w:trPr>
        <w:tc>
          <w:tcPr>
            <w:tcW w:w="4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Наличие АВР по высокой стороне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4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Возможность переключения на питание от ДГУ без влияния на ОТП (по каждому пункту, 1-2-3-4, да/нет)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 xml:space="preserve">Наличие бесперебойного питания основных </w:t>
            </w:r>
            <w:proofErr w:type="spellStart"/>
            <w:r w:rsidRPr="00135AE9">
              <w:rPr>
                <w:bCs/>
                <w:sz w:val="20"/>
              </w:rPr>
              <w:t>чиллеров</w:t>
            </w:r>
            <w:proofErr w:type="spellEnd"/>
            <w:r w:rsidRPr="00135AE9">
              <w:rPr>
                <w:bCs/>
                <w:sz w:val="20"/>
              </w:rPr>
              <w:t xml:space="preserve"> (либо наличие накопительного бака охлажденного теплоносителя)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 xml:space="preserve">Наличие бесперебойного питания основных </w:t>
            </w:r>
            <w:proofErr w:type="spellStart"/>
            <w:r w:rsidRPr="00135AE9">
              <w:rPr>
                <w:bCs/>
                <w:sz w:val="20"/>
              </w:rPr>
              <w:t>фанкойлов</w:t>
            </w:r>
            <w:proofErr w:type="spellEnd"/>
            <w:r w:rsidRPr="00135AE9">
              <w:rPr>
                <w:bCs/>
                <w:sz w:val="20"/>
              </w:rPr>
              <w:t xml:space="preserve"> и насосов системы холодоснабжения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Запас топлива при полной мощности ЦОД (без учета резерва) не менее 24 часов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Возможность физической изоляции любого элемента запорной арматуры внутреннего и внешнего контуров системы холодоснабжения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 xml:space="preserve">Авария на системе пожаротушения (в </w:t>
            </w:r>
            <w:proofErr w:type="spellStart"/>
            <w:r w:rsidRPr="00135AE9">
              <w:rPr>
                <w:bCs/>
                <w:sz w:val="20"/>
              </w:rPr>
              <w:t>т.ч</w:t>
            </w:r>
            <w:proofErr w:type="spellEnd"/>
            <w:r w:rsidRPr="00135AE9">
              <w:rPr>
                <w:bCs/>
                <w:sz w:val="20"/>
              </w:rPr>
              <w:t>. полное выключение системы пожаротушения) не влияет на ОТП (по каждому пункту, 1-2-3-4, да/нет)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</w:tbl>
    <w:p w:rsidR="0095797C" w:rsidRPr="00135AE9" w:rsidRDefault="0095797C" w:rsidP="00FB56E1">
      <w:pPr>
        <w:keepNext/>
        <w:keepLines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0"/>
        <w:gridCol w:w="1767"/>
      </w:tblGrid>
      <w:tr w:rsidR="0095797C" w:rsidRPr="00135AE9" w:rsidTr="00CF5E08">
        <w:trPr>
          <w:trHeight w:val="465"/>
        </w:trPr>
        <w:tc>
          <w:tcPr>
            <w:tcW w:w="4116" w:type="pct"/>
            <w:shd w:val="clear" w:color="000000" w:fill="D9D9D9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Показатель</w:t>
            </w:r>
          </w:p>
        </w:tc>
        <w:tc>
          <w:tcPr>
            <w:tcW w:w="884" w:type="pct"/>
            <w:shd w:val="clear" w:color="000000" w:fill="D9D9D9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/>
                <w:bCs/>
                <w:sz w:val="20"/>
              </w:rPr>
            </w:pPr>
            <w:r w:rsidRPr="00135AE9">
              <w:rPr>
                <w:b/>
                <w:bCs/>
                <w:sz w:val="20"/>
              </w:rPr>
              <w:t>Возможность</w:t>
            </w: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Круглосуточная доступность ЦОД для прохода и завоза/вывоза оборудования.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690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Аварийные возможности ввоза/вывоза оборудования в ЦОД в случае: блокировки въездных ворот, разгрузочно-погрузочной зоны, поломки лифта.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1140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Выгрузка оборудования из машины (или с погрузчика) производится на уровень фальшпола машинных залов первого этажа и/ или уровень пола лифта. Лифт прибывает на уровень фальшпола машинных залов этажей. Нет необходимости наклонять оборудование или перемещать по наклонному пандусу.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Подвод электричества к стойкам осуществляется кабелем и розеткой с учётом индивидуальных требований заказчика.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690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Оборудование технологического кондиционирования машинных залов, оборудование электрощитов и ИБП находятся в отдельных от машинных залов помещениях.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Доступ во всех помещения ЦОД контролируется СКУД, разделенной на зоны доступа, согласно должностных обязанностей сотрудников ЦОД.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300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 xml:space="preserve">В помещениях ЦОД работает "гостевой" </w:t>
            </w:r>
            <w:proofErr w:type="spellStart"/>
            <w:r w:rsidRPr="00135AE9">
              <w:rPr>
                <w:bCs/>
                <w:sz w:val="20"/>
              </w:rPr>
              <w:t>Wi-Fi</w:t>
            </w:r>
            <w:proofErr w:type="spellEnd"/>
            <w:r w:rsidRPr="00135AE9">
              <w:rPr>
                <w:bCs/>
                <w:sz w:val="20"/>
              </w:rPr>
              <w:t xml:space="preserve"> доступ в интернет.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690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 xml:space="preserve">В ЦОД имеется комната с временными местами для работы </w:t>
            </w:r>
            <w:proofErr w:type="gramStart"/>
            <w:r w:rsidRPr="00135AE9">
              <w:rPr>
                <w:bCs/>
                <w:sz w:val="20"/>
              </w:rPr>
              <w:t>персонала заказчика</w:t>
            </w:r>
            <w:proofErr w:type="gramEnd"/>
            <w:r w:rsidRPr="00135AE9">
              <w:rPr>
                <w:bCs/>
                <w:sz w:val="20"/>
              </w:rPr>
              <w:t xml:space="preserve"> к которым могут быть </w:t>
            </w:r>
            <w:proofErr w:type="spellStart"/>
            <w:r w:rsidRPr="00135AE9">
              <w:rPr>
                <w:bCs/>
                <w:sz w:val="20"/>
              </w:rPr>
              <w:t>скоммутированы</w:t>
            </w:r>
            <w:proofErr w:type="spellEnd"/>
            <w:r w:rsidRPr="00135AE9">
              <w:rPr>
                <w:bCs/>
                <w:sz w:val="20"/>
              </w:rPr>
              <w:t xml:space="preserve"> UTP соединения от стоек заказчика.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930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В ЦОД круглосуточно находятся дежурные смены: охраны, инженеров АХС (по инженерным системам), дежурных инженеров ЦОД (поддержка ИТ, "</w:t>
            </w:r>
            <w:proofErr w:type="spellStart"/>
            <w:r w:rsidRPr="00135AE9">
              <w:rPr>
                <w:bCs/>
                <w:sz w:val="20"/>
              </w:rPr>
              <w:t>remote</w:t>
            </w:r>
            <w:proofErr w:type="spellEnd"/>
            <w:r w:rsidRPr="00135AE9">
              <w:rPr>
                <w:bCs/>
                <w:sz w:val="20"/>
              </w:rPr>
              <w:t xml:space="preserve"> </w:t>
            </w:r>
            <w:proofErr w:type="spellStart"/>
            <w:r w:rsidRPr="00135AE9">
              <w:rPr>
                <w:bCs/>
                <w:sz w:val="20"/>
              </w:rPr>
              <w:t>hands</w:t>
            </w:r>
            <w:proofErr w:type="spellEnd"/>
            <w:r w:rsidRPr="00135AE9">
              <w:rPr>
                <w:bCs/>
                <w:sz w:val="20"/>
              </w:rPr>
              <w:t>", обеспечение доступа заказчиков), пожарного поста. Каждая смена состоит из, как минимум, двух человек круглосуточно.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Система видеонаблюдения ведёт запись по всему зданию ЦОД и в машинных залах. Видеозаписи хранятся 30 дней и доступны по запросу.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915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lastRenderedPageBreak/>
              <w:t xml:space="preserve">Система мониторинга инженерных систем регистрирует историю всех основных параметров, в том числе: температуру холодного коридора, влажность, напряжение </w:t>
            </w:r>
            <w:proofErr w:type="spellStart"/>
            <w:r w:rsidRPr="00135AE9">
              <w:rPr>
                <w:bCs/>
                <w:sz w:val="20"/>
              </w:rPr>
              <w:t>итп</w:t>
            </w:r>
            <w:proofErr w:type="spellEnd"/>
            <w:r w:rsidRPr="00135AE9">
              <w:rPr>
                <w:bCs/>
                <w:sz w:val="20"/>
              </w:rPr>
              <w:t>. История изменения параметров доступна в случае спорных ситуаций.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570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Доступ представителей заказчика в ЦОД осуществляется только по заявкам (письменным, e-</w:t>
            </w:r>
            <w:proofErr w:type="spellStart"/>
            <w:r w:rsidRPr="00135AE9">
              <w:rPr>
                <w:bCs/>
                <w:sz w:val="20"/>
              </w:rPr>
              <w:t>mail</w:t>
            </w:r>
            <w:proofErr w:type="spellEnd"/>
            <w:r w:rsidRPr="00135AE9">
              <w:rPr>
                <w:bCs/>
                <w:sz w:val="20"/>
              </w:rPr>
              <w:t>) с уведомлением ответственных лиц заказчика.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shd w:val="clear" w:color="auto" w:fill="auto"/>
            <w:vAlign w:val="bottom"/>
            <w:hideMark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>Доступ в машинные залы представителей заказчика осуществляется только в сопровождении дежурных инженеров ЦОД.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  <w:tr w:rsidR="0095797C" w:rsidRPr="00135AE9" w:rsidTr="00CF5E08">
        <w:trPr>
          <w:trHeight w:val="465"/>
        </w:trPr>
        <w:tc>
          <w:tcPr>
            <w:tcW w:w="4116" w:type="pct"/>
            <w:shd w:val="clear" w:color="auto" w:fill="auto"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bCs/>
                <w:sz w:val="20"/>
              </w:rPr>
            </w:pPr>
            <w:r w:rsidRPr="00135AE9">
              <w:rPr>
                <w:bCs/>
                <w:sz w:val="20"/>
              </w:rPr>
              <w:t xml:space="preserve">Возможность тестирования оборудования до перемещения в машинный зал в непосредственной близости от машинного зала, наличие в непосредственной близости от машинного зала промышленных разъемов питания типа </w:t>
            </w:r>
            <w:r w:rsidRPr="00135AE9">
              <w:rPr>
                <w:bCs/>
                <w:sz w:val="20"/>
                <w:lang w:val="en-US"/>
              </w:rPr>
              <w:t>IEC</w:t>
            </w:r>
            <w:r w:rsidRPr="00135AE9">
              <w:rPr>
                <w:bCs/>
                <w:sz w:val="20"/>
              </w:rPr>
              <w:t>309 1ф и 3ф.</w:t>
            </w:r>
          </w:p>
        </w:tc>
        <w:tc>
          <w:tcPr>
            <w:tcW w:w="884" w:type="pct"/>
            <w:shd w:val="clear" w:color="auto" w:fill="auto"/>
            <w:noWrap/>
            <w:vAlign w:val="bottom"/>
          </w:tcPr>
          <w:p w:rsidR="0095797C" w:rsidRPr="00135AE9" w:rsidRDefault="0095797C" w:rsidP="00FB56E1">
            <w:pPr>
              <w:keepNext/>
              <w:keepLines/>
              <w:rPr>
                <w:sz w:val="20"/>
              </w:rPr>
            </w:pPr>
          </w:p>
        </w:tc>
      </w:tr>
    </w:tbl>
    <w:p w:rsidR="0095797C" w:rsidRPr="00135AE9" w:rsidRDefault="0095797C" w:rsidP="00FB56E1">
      <w:pPr>
        <w:keepNext/>
        <w:keepLines/>
      </w:pPr>
    </w:p>
    <w:p w:rsidR="0095797C" w:rsidRPr="00135AE9" w:rsidRDefault="0095797C" w:rsidP="00FB56E1">
      <w:pPr>
        <w:keepNext/>
        <w:keepLines/>
      </w:pPr>
    </w:p>
    <w:p w:rsidR="0095797C" w:rsidRPr="00135AE9" w:rsidRDefault="0095797C" w:rsidP="00FB56E1">
      <w:pPr>
        <w:keepNext/>
        <w:keepLines/>
      </w:pPr>
    </w:p>
    <w:p w:rsidR="0095797C" w:rsidRPr="00135AE9" w:rsidRDefault="0095797C" w:rsidP="00FB56E1">
      <w:pPr>
        <w:keepNext/>
        <w:keepLines/>
      </w:pPr>
    </w:p>
    <w:p w:rsidR="0095797C" w:rsidRPr="00135AE9" w:rsidRDefault="0095797C" w:rsidP="00FB56E1">
      <w:pPr>
        <w:keepNext/>
        <w:keepLines/>
      </w:pPr>
    </w:p>
    <w:p w:rsidR="0095797C" w:rsidRPr="00135AE9" w:rsidRDefault="0095797C" w:rsidP="00FB56E1">
      <w:pPr>
        <w:keepNext/>
        <w:keepLines/>
      </w:pPr>
    </w:p>
    <w:p w:rsidR="0095797C" w:rsidRPr="000763E9" w:rsidRDefault="0095797C" w:rsidP="00FB56E1">
      <w:pPr>
        <w:keepNext/>
        <w:keepLines/>
        <w:spacing w:after="160" w:line="259" w:lineRule="auto"/>
        <w:rPr>
          <w:color w:val="000000"/>
        </w:rPr>
      </w:pPr>
    </w:p>
    <w:p w:rsidR="0095797C" w:rsidRPr="000763E9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Pr="000763E9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Pr="000763E9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Default="0095797C" w:rsidP="00FB56E1">
      <w:pPr>
        <w:keepNext/>
        <w:keepLines/>
        <w:jc w:val="both"/>
        <w:rPr>
          <w:color w:val="000000"/>
          <w:spacing w:val="-10"/>
          <w:kern w:val="28"/>
        </w:rPr>
      </w:pPr>
    </w:p>
    <w:p w:rsidR="0095797C" w:rsidRPr="009866B7" w:rsidRDefault="0095797C" w:rsidP="00FB56E1">
      <w:pPr>
        <w:keepNext/>
        <w:keepLines/>
      </w:pPr>
    </w:p>
    <w:sectPr w:rsidR="0095797C" w:rsidRPr="009866B7" w:rsidSect="000837D5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D79" w:rsidRDefault="00D35D79">
      <w:r>
        <w:separator/>
      </w:r>
    </w:p>
  </w:endnote>
  <w:endnote w:type="continuationSeparator" w:id="0">
    <w:p w:rsidR="00D35D79" w:rsidRDefault="00D3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D79" w:rsidRDefault="00D35D79">
      <w:r>
        <w:separator/>
      </w:r>
    </w:p>
  </w:footnote>
  <w:footnote w:type="continuationSeparator" w:id="0">
    <w:p w:rsidR="00D35D79" w:rsidRDefault="00D35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D79" w:rsidRDefault="00D35D79" w:rsidP="000837D5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67A493C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1">
    <w:nsid w:val="03BA2982"/>
    <w:multiLevelType w:val="multilevel"/>
    <w:tmpl w:val="1566301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380763"/>
    <w:multiLevelType w:val="hybridMultilevel"/>
    <w:tmpl w:val="F7C4E422"/>
    <w:lvl w:ilvl="0" w:tplc="FAB0B7A0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08D34469"/>
    <w:multiLevelType w:val="hybridMultilevel"/>
    <w:tmpl w:val="86F88042"/>
    <w:lvl w:ilvl="0" w:tplc="296C7D86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4">
    <w:nsid w:val="0D290584"/>
    <w:multiLevelType w:val="hybridMultilevel"/>
    <w:tmpl w:val="872ADBA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95050"/>
    <w:multiLevelType w:val="hybridMultilevel"/>
    <w:tmpl w:val="C43A581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37295"/>
    <w:multiLevelType w:val="hybridMultilevel"/>
    <w:tmpl w:val="FA7E7A0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347EC3"/>
    <w:multiLevelType w:val="multilevel"/>
    <w:tmpl w:val="664C07F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17681809"/>
    <w:multiLevelType w:val="multilevel"/>
    <w:tmpl w:val="73F85FD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DF60D1"/>
    <w:multiLevelType w:val="hybridMultilevel"/>
    <w:tmpl w:val="E41C8E5A"/>
    <w:lvl w:ilvl="0" w:tplc="7D8A888E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>
    <w:nsid w:val="2A2A4F43"/>
    <w:multiLevelType w:val="hybridMultilevel"/>
    <w:tmpl w:val="F7C4E422"/>
    <w:lvl w:ilvl="0" w:tplc="FAB0B7A0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2">
    <w:nsid w:val="2B156CED"/>
    <w:multiLevelType w:val="multilevel"/>
    <w:tmpl w:val="1120678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160"/>
      </w:pPr>
      <w:rPr>
        <w:rFonts w:hint="default"/>
      </w:rPr>
    </w:lvl>
  </w:abstractNum>
  <w:abstractNum w:abstractNumId="13">
    <w:nsid w:val="312C2F85"/>
    <w:multiLevelType w:val="multilevel"/>
    <w:tmpl w:val="85080C4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2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160"/>
      </w:pPr>
      <w:rPr>
        <w:rFonts w:hint="default"/>
      </w:rPr>
    </w:lvl>
  </w:abstractNum>
  <w:abstractNum w:abstractNumId="14">
    <w:nsid w:val="33126566"/>
    <w:multiLevelType w:val="hybridMultilevel"/>
    <w:tmpl w:val="752CA2FC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E717E9"/>
    <w:multiLevelType w:val="hybridMultilevel"/>
    <w:tmpl w:val="1366972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365A58F2"/>
    <w:multiLevelType w:val="hybridMultilevel"/>
    <w:tmpl w:val="12B0521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100DCA"/>
    <w:multiLevelType w:val="hybridMultilevel"/>
    <w:tmpl w:val="78D2A19A"/>
    <w:lvl w:ilvl="0" w:tplc="56823A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DED6C57"/>
    <w:multiLevelType w:val="hybridMultilevel"/>
    <w:tmpl w:val="F95274F0"/>
    <w:lvl w:ilvl="0" w:tplc="436CEB92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9">
    <w:nsid w:val="41924CC3"/>
    <w:multiLevelType w:val="hybridMultilevel"/>
    <w:tmpl w:val="24F8C7D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162A3D"/>
    <w:multiLevelType w:val="multilevel"/>
    <w:tmpl w:val="1EE6B4D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47CE7F50"/>
    <w:multiLevelType w:val="hybridMultilevel"/>
    <w:tmpl w:val="3AFE6CD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E44B9D"/>
    <w:multiLevelType w:val="multilevel"/>
    <w:tmpl w:val="17DCB88E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494E71AB"/>
    <w:multiLevelType w:val="hybridMultilevel"/>
    <w:tmpl w:val="0E680BD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576343"/>
    <w:multiLevelType w:val="multilevel"/>
    <w:tmpl w:val="A0208DE6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6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25">
    <w:nsid w:val="572909D6"/>
    <w:multiLevelType w:val="multilevel"/>
    <w:tmpl w:val="1120678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160"/>
      </w:pPr>
      <w:rPr>
        <w:rFonts w:hint="default"/>
      </w:rPr>
    </w:lvl>
  </w:abstractNum>
  <w:abstractNum w:abstractNumId="26">
    <w:nsid w:val="5B936207"/>
    <w:multiLevelType w:val="hybridMultilevel"/>
    <w:tmpl w:val="F46A17D2"/>
    <w:lvl w:ilvl="0" w:tplc="7D8A888E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7">
    <w:nsid w:val="608177A5"/>
    <w:multiLevelType w:val="multilevel"/>
    <w:tmpl w:val="A3D0D5F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626227B1"/>
    <w:multiLevelType w:val="hybridMultilevel"/>
    <w:tmpl w:val="CAFCCAE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7008E0"/>
    <w:multiLevelType w:val="hybridMultilevel"/>
    <w:tmpl w:val="60E6BD52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66F50D47"/>
    <w:multiLevelType w:val="multilevel"/>
    <w:tmpl w:val="27C403B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6A5A555C"/>
    <w:multiLevelType w:val="multilevel"/>
    <w:tmpl w:val="DDA4662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>
    <w:nsid w:val="6A836D00"/>
    <w:multiLevelType w:val="hybridMultilevel"/>
    <w:tmpl w:val="E4DC4A70"/>
    <w:lvl w:ilvl="0" w:tplc="7D8A888E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3">
    <w:nsid w:val="6AC72409"/>
    <w:multiLevelType w:val="multilevel"/>
    <w:tmpl w:val="CD7226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4">
    <w:nsid w:val="6B1F5D89"/>
    <w:multiLevelType w:val="hybridMultilevel"/>
    <w:tmpl w:val="3EC6A48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250EA4"/>
    <w:multiLevelType w:val="hybridMultilevel"/>
    <w:tmpl w:val="DB4C8246"/>
    <w:lvl w:ilvl="0" w:tplc="CD88531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6E4B0BFB"/>
    <w:multiLevelType w:val="multilevel"/>
    <w:tmpl w:val="CDC80B9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70594FAD"/>
    <w:multiLevelType w:val="multilevel"/>
    <w:tmpl w:val="B9D4A7F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8">
    <w:nsid w:val="71CF69D6"/>
    <w:multiLevelType w:val="multilevel"/>
    <w:tmpl w:val="2946CBCE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39">
    <w:nsid w:val="71FC28C3"/>
    <w:multiLevelType w:val="multilevel"/>
    <w:tmpl w:val="013836D8"/>
    <w:lvl w:ilvl="0">
      <w:start w:val="4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0">
    <w:nsid w:val="75E40750"/>
    <w:multiLevelType w:val="multilevel"/>
    <w:tmpl w:val="75F6E0E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88F4C22"/>
    <w:multiLevelType w:val="hybridMultilevel"/>
    <w:tmpl w:val="1524635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8B5CD6"/>
    <w:multiLevelType w:val="multilevel"/>
    <w:tmpl w:val="9E387A82"/>
    <w:lvl w:ilvl="0">
      <w:start w:val="4"/>
      <w:numFmt w:val="decimal"/>
      <w:lvlText w:val="%1."/>
      <w:lvlJc w:val="left"/>
      <w:pPr>
        <w:ind w:left="125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0" w:hanging="1800"/>
      </w:pPr>
      <w:rPr>
        <w:rFonts w:hint="default"/>
      </w:rPr>
    </w:lvl>
  </w:abstractNum>
  <w:abstractNum w:abstractNumId="43">
    <w:nsid w:val="7BB94A4C"/>
    <w:multiLevelType w:val="multilevel"/>
    <w:tmpl w:val="1C5427C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35"/>
  </w:num>
  <w:num w:numId="3">
    <w:abstractNumId w:val="3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1"/>
  </w:num>
  <w:num w:numId="8">
    <w:abstractNumId w:val="2"/>
  </w:num>
  <w:num w:numId="9">
    <w:abstractNumId w:val="18"/>
  </w:num>
  <w:num w:numId="10">
    <w:abstractNumId w:val="17"/>
  </w:num>
  <w:num w:numId="11">
    <w:abstractNumId w:val="20"/>
  </w:num>
  <w:num w:numId="12">
    <w:abstractNumId w:val="42"/>
  </w:num>
  <w:num w:numId="13">
    <w:abstractNumId w:val="26"/>
  </w:num>
  <w:num w:numId="14">
    <w:abstractNumId w:val="40"/>
  </w:num>
  <w:num w:numId="15">
    <w:abstractNumId w:val="29"/>
  </w:num>
  <w:num w:numId="16">
    <w:abstractNumId w:val="25"/>
  </w:num>
  <w:num w:numId="17">
    <w:abstractNumId w:val="13"/>
  </w:num>
  <w:num w:numId="18">
    <w:abstractNumId w:val="1"/>
  </w:num>
  <w:num w:numId="19">
    <w:abstractNumId w:val="10"/>
  </w:num>
  <w:num w:numId="20">
    <w:abstractNumId w:val="37"/>
  </w:num>
  <w:num w:numId="21">
    <w:abstractNumId w:val="27"/>
  </w:num>
  <w:num w:numId="22">
    <w:abstractNumId w:val="24"/>
  </w:num>
  <w:num w:numId="23">
    <w:abstractNumId w:val="32"/>
  </w:num>
  <w:num w:numId="24">
    <w:abstractNumId w:val="33"/>
    <w:lvlOverride w:ilvl="0">
      <w:startOverride w:val="3"/>
      <w:lvl w:ilvl="0">
        <w:start w:val="3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startOverride w:val="5"/>
      <w:lvl w:ilvl="1">
        <w:start w:val="5"/>
        <w:numFmt w:val="decimal"/>
        <w:isLgl/>
        <w:lvlText w:val="%1.%2"/>
        <w:lvlJc w:val="left"/>
        <w:pPr>
          <w:ind w:left="810" w:hanging="450"/>
        </w:pPr>
        <w:rPr>
          <w:rFonts w:hint="default"/>
        </w:rPr>
      </w:lvl>
    </w:lvlOverride>
    <w:lvlOverride w:ilvl="2">
      <w:startOverride w:val="2"/>
      <w:lvl w:ilvl="2">
        <w:start w:val="2"/>
        <w:numFmt w:val="decimal"/>
        <w:isLgl/>
        <w:lvlText w:val="%1.%2.%3"/>
        <w:lvlJc w:val="left"/>
        <w:pPr>
          <w:ind w:left="1080" w:hanging="72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</w:num>
  <w:num w:numId="25">
    <w:abstractNumId w:val="12"/>
  </w:num>
  <w:num w:numId="26">
    <w:abstractNumId w:val="43"/>
  </w:num>
  <w:num w:numId="27">
    <w:abstractNumId w:val="36"/>
  </w:num>
  <w:num w:numId="28">
    <w:abstractNumId w:val="7"/>
  </w:num>
  <w:num w:numId="29">
    <w:abstractNumId w:val="8"/>
  </w:num>
  <w:num w:numId="30">
    <w:abstractNumId w:val="22"/>
  </w:num>
  <w:num w:numId="31">
    <w:abstractNumId w:val="16"/>
  </w:num>
  <w:num w:numId="32">
    <w:abstractNumId w:val="5"/>
  </w:num>
  <w:num w:numId="33">
    <w:abstractNumId w:val="41"/>
  </w:num>
  <w:num w:numId="34">
    <w:abstractNumId w:val="34"/>
  </w:num>
  <w:num w:numId="35">
    <w:abstractNumId w:val="6"/>
  </w:num>
  <w:num w:numId="36">
    <w:abstractNumId w:val="19"/>
  </w:num>
  <w:num w:numId="37">
    <w:abstractNumId w:val="15"/>
  </w:num>
  <w:num w:numId="38">
    <w:abstractNumId w:val="4"/>
  </w:num>
  <w:num w:numId="39">
    <w:abstractNumId w:val="14"/>
  </w:num>
  <w:num w:numId="40">
    <w:abstractNumId w:val="23"/>
  </w:num>
  <w:num w:numId="41">
    <w:abstractNumId w:val="30"/>
  </w:num>
  <w:num w:numId="42">
    <w:abstractNumId w:val="31"/>
  </w:num>
  <w:num w:numId="43">
    <w:abstractNumId w:val="28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29"/>
    <w:rsid w:val="000837D5"/>
    <w:rsid w:val="000C081E"/>
    <w:rsid w:val="00120DC8"/>
    <w:rsid w:val="00133B7B"/>
    <w:rsid w:val="001420D8"/>
    <w:rsid w:val="00152694"/>
    <w:rsid w:val="001641B8"/>
    <w:rsid w:val="00183FEB"/>
    <w:rsid w:val="001B2A3F"/>
    <w:rsid w:val="001C200A"/>
    <w:rsid w:val="002766C8"/>
    <w:rsid w:val="0034162A"/>
    <w:rsid w:val="003566F7"/>
    <w:rsid w:val="00372944"/>
    <w:rsid w:val="003B2BE2"/>
    <w:rsid w:val="003B699F"/>
    <w:rsid w:val="003E71FE"/>
    <w:rsid w:val="00406D0A"/>
    <w:rsid w:val="004300D3"/>
    <w:rsid w:val="0043579C"/>
    <w:rsid w:val="00537CA5"/>
    <w:rsid w:val="00541EDA"/>
    <w:rsid w:val="005A2A9F"/>
    <w:rsid w:val="005B5A9F"/>
    <w:rsid w:val="005E2D1C"/>
    <w:rsid w:val="00673324"/>
    <w:rsid w:val="006F4F34"/>
    <w:rsid w:val="0072325B"/>
    <w:rsid w:val="00736CBE"/>
    <w:rsid w:val="00740FD8"/>
    <w:rsid w:val="00743A02"/>
    <w:rsid w:val="00777A8E"/>
    <w:rsid w:val="00781DBC"/>
    <w:rsid w:val="00782B66"/>
    <w:rsid w:val="007C0144"/>
    <w:rsid w:val="007E658F"/>
    <w:rsid w:val="008238B2"/>
    <w:rsid w:val="008445AA"/>
    <w:rsid w:val="009022C9"/>
    <w:rsid w:val="00911EB6"/>
    <w:rsid w:val="00920194"/>
    <w:rsid w:val="009319DA"/>
    <w:rsid w:val="00941029"/>
    <w:rsid w:val="0095797C"/>
    <w:rsid w:val="00962D74"/>
    <w:rsid w:val="00971554"/>
    <w:rsid w:val="009866B7"/>
    <w:rsid w:val="00A6404D"/>
    <w:rsid w:val="00A70EAA"/>
    <w:rsid w:val="00A726A4"/>
    <w:rsid w:val="00A858BF"/>
    <w:rsid w:val="00B14ADA"/>
    <w:rsid w:val="00B2155D"/>
    <w:rsid w:val="00B36A48"/>
    <w:rsid w:val="00B70804"/>
    <w:rsid w:val="00B86E87"/>
    <w:rsid w:val="00BA49CA"/>
    <w:rsid w:val="00C05AD9"/>
    <w:rsid w:val="00C14261"/>
    <w:rsid w:val="00C47928"/>
    <w:rsid w:val="00D03CC8"/>
    <w:rsid w:val="00D1518D"/>
    <w:rsid w:val="00D35D79"/>
    <w:rsid w:val="00D945FD"/>
    <w:rsid w:val="00E10C8D"/>
    <w:rsid w:val="00E549B3"/>
    <w:rsid w:val="00E8798C"/>
    <w:rsid w:val="00EE162E"/>
    <w:rsid w:val="00FB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60ED3-A70A-4728-9607-B921EA26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4102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0"/>
    <w:link w:val="11"/>
    <w:qFormat/>
    <w:rsid w:val="00B2155D"/>
    <w:pPr>
      <w:pBdr>
        <w:bottom w:val="none" w:sz="0" w:space="0" w:color="auto"/>
      </w:pBdr>
      <w:spacing w:after="0"/>
      <w:ind w:left="284" w:hanging="284"/>
      <w:outlineLvl w:val="0"/>
    </w:pPr>
    <w:rPr>
      <w:rFonts w:ascii="Times New Roman" w:hAnsi="Times New Roman" w:cs="Times New Roman"/>
      <w:b/>
      <w:color w:val="000000"/>
      <w:spacing w:val="-10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743A0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6"/>
    <w:uiPriority w:val="99"/>
    <w:unhideWhenUsed/>
    <w:rsid w:val="00941029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5"/>
    <w:uiPriority w:val="99"/>
    <w:rsid w:val="0094102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styleId="a7">
    <w:name w:val="annotation reference"/>
    <w:rsid w:val="001C200A"/>
    <w:rPr>
      <w:sz w:val="16"/>
      <w:szCs w:val="16"/>
    </w:rPr>
  </w:style>
  <w:style w:type="paragraph" w:styleId="a8">
    <w:name w:val="annotation text"/>
    <w:basedOn w:val="a0"/>
    <w:link w:val="a9"/>
    <w:rsid w:val="001C200A"/>
    <w:pPr>
      <w:suppressAutoHyphens/>
      <w:spacing w:line="288" w:lineRule="auto"/>
      <w:ind w:left="170" w:right="170" w:firstLine="720"/>
      <w:jc w:val="both"/>
    </w:pPr>
    <w:rPr>
      <w:rFonts w:ascii="Arial" w:hAnsi="Arial"/>
      <w:sz w:val="20"/>
      <w:szCs w:val="20"/>
    </w:rPr>
  </w:style>
  <w:style w:type="character" w:customStyle="1" w:styleId="a9">
    <w:name w:val="Текст примечания Знак"/>
    <w:basedOn w:val="a2"/>
    <w:link w:val="a8"/>
    <w:rsid w:val="001C200A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1C200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1C200A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1C200A"/>
    <w:pPr>
      <w:suppressAutoHyphens w:val="0"/>
      <w:spacing w:line="240" w:lineRule="auto"/>
      <w:ind w:left="0" w:right="0" w:firstLine="0"/>
      <w:jc w:val="left"/>
    </w:pPr>
    <w:rPr>
      <w:rFonts w:ascii="Times New Roman" w:hAnsi="Times New Roman"/>
      <w:b/>
      <w:bCs/>
    </w:rPr>
  </w:style>
  <w:style w:type="character" w:customStyle="1" w:styleId="ad">
    <w:name w:val="Тема примечания Знак"/>
    <w:basedOn w:val="a9"/>
    <w:link w:val="ac"/>
    <w:uiPriority w:val="99"/>
    <w:semiHidden/>
    <w:rsid w:val="001C200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List Paragraph"/>
    <w:basedOn w:val="a0"/>
    <w:uiPriority w:val="34"/>
    <w:qFormat/>
    <w:rsid w:val="001C200A"/>
    <w:pPr>
      <w:suppressAutoHyphens/>
      <w:spacing w:line="288" w:lineRule="auto"/>
      <w:ind w:left="708" w:right="170" w:firstLine="720"/>
      <w:jc w:val="both"/>
    </w:pPr>
    <w:rPr>
      <w:rFonts w:ascii="Arial" w:hAnsi="Arial"/>
      <w:sz w:val="24"/>
      <w:szCs w:val="24"/>
    </w:rPr>
  </w:style>
  <w:style w:type="paragraph" w:styleId="a">
    <w:name w:val="List Bullet"/>
    <w:basedOn w:val="a0"/>
    <w:rsid w:val="00971554"/>
    <w:pPr>
      <w:keepLines/>
      <w:numPr>
        <w:numId w:val="6"/>
      </w:numPr>
      <w:spacing w:after="60" w:line="288" w:lineRule="auto"/>
      <w:jc w:val="both"/>
    </w:pPr>
    <w:rPr>
      <w:sz w:val="24"/>
      <w:szCs w:val="24"/>
      <w:lang w:eastAsia="en-US"/>
    </w:rPr>
  </w:style>
  <w:style w:type="character" w:styleId="af">
    <w:name w:val="Hyperlink"/>
    <w:basedOn w:val="a2"/>
    <w:uiPriority w:val="99"/>
    <w:semiHidden/>
    <w:unhideWhenUsed/>
    <w:rsid w:val="000C081E"/>
    <w:rPr>
      <w:color w:val="0563C1"/>
      <w:u w:val="single"/>
    </w:rPr>
  </w:style>
  <w:style w:type="table" w:customStyle="1" w:styleId="110">
    <w:name w:val="Сетка таблицы11"/>
    <w:basedOn w:val="a3"/>
    <w:next w:val="af0"/>
    <w:uiPriority w:val="39"/>
    <w:rsid w:val="00406D0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3"/>
    <w:uiPriority w:val="59"/>
    <w:rsid w:val="00406D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uiPriority w:val="9"/>
    <w:rsid w:val="00B215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2"/>
    <w:link w:val="1"/>
    <w:rsid w:val="00B2155D"/>
    <w:rPr>
      <w:rFonts w:ascii="Times New Roman" w:eastAsiaTheme="majorEastAsia" w:hAnsi="Times New Roman" w:cs="Times New Roman"/>
      <w:b/>
      <w:color w:val="000000"/>
      <w:spacing w:val="-10"/>
      <w:kern w:val="28"/>
      <w:sz w:val="28"/>
      <w:szCs w:val="28"/>
      <w:lang w:eastAsia="ru-RU"/>
    </w:rPr>
  </w:style>
  <w:style w:type="character" w:customStyle="1" w:styleId="TableTextChar">
    <w:name w:val="Table_Text Char"/>
    <w:basedOn w:val="a2"/>
    <w:link w:val="TableText"/>
    <w:locked/>
    <w:rsid w:val="00B2155D"/>
    <w:rPr>
      <w:color w:val="000000"/>
    </w:rPr>
  </w:style>
  <w:style w:type="paragraph" w:customStyle="1" w:styleId="TableText">
    <w:name w:val="Table_Text"/>
    <w:basedOn w:val="a0"/>
    <w:link w:val="TableTextChar"/>
    <w:rsid w:val="00B2155D"/>
    <w:pPr>
      <w:snapToGrid w:val="0"/>
      <w:spacing w:before="40" w:after="40" w:line="288" w:lineRule="auto"/>
    </w:pPr>
    <w:rPr>
      <w:rFonts w:asciiTheme="minorHAnsi" w:eastAsiaTheme="minorHAnsi" w:hAnsiTheme="minorHAnsi" w:cstheme="minorBidi"/>
      <w:color w:val="000000"/>
      <w:sz w:val="22"/>
      <w:szCs w:val="22"/>
      <w:lang w:eastAsia="en-US"/>
    </w:rPr>
  </w:style>
  <w:style w:type="paragraph" w:styleId="a1">
    <w:name w:val="Title"/>
    <w:basedOn w:val="a0"/>
    <w:next w:val="a0"/>
    <w:link w:val="af1"/>
    <w:uiPriority w:val="10"/>
    <w:qFormat/>
    <w:rsid w:val="00B215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2"/>
    <w:link w:val="a1"/>
    <w:uiPriority w:val="10"/>
    <w:rsid w:val="00B215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2"/>
    <w:link w:val="2"/>
    <w:uiPriority w:val="9"/>
    <w:rsid w:val="00743A0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0FBE1-3DDA-407E-9E67-DF4553B91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17</Pages>
  <Words>4526</Words>
  <Characters>25802</Characters>
  <Application>Microsoft Office Word</Application>
  <DocSecurity>0</DocSecurity>
  <Lines>215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ОАО "Техснабэкспорт"</Company>
  <LinksUpToDate>false</LinksUpToDate>
  <CharactersWithSpaces>30268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Чижов Алексей Владимирович</dc:creator>
  <cp:lastModifiedBy>Администратор</cp:lastModifiedBy>
  <cp:revision>12</cp:revision>
  <cp:lastPrinted>2015-10-15T13:04:00Z</cp:lastPrinted>
  <dcterms:created xsi:type="dcterms:W3CDTF">2015-10-01T12:00:00Z</dcterms:created>
  <dcterms:modified xsi:type="dcterms:W3CDTF">2015-10-22T11:27:00Z</dcterms:modified>
</cp:coreProperties>
</file>