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jc w:val="center"/>
        <w:outlineLvl w:val="0"/>
        <w:rPr>
          <w:b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</w:rPr>
        <w:t xml:space="preserve">  </w:t>
      </w:r>
      <w:bookmarkStart w:id="8" w:name="_Toc207097185"/>
      <w:bookmarkStart w:id="9" w:name="_Toc208831409"/>
      <w:bookmarkStart w:id="10" w:name="_Toc211919246"/>
      <w:bookmarkStart w:id="11" w:name="_Toc213335116"/>
      <w:bookmarkStart w:id="12" w:name="_Toc213679119"/>
      <w:bookmarkStart w:id="13" w:name="_Toc213679197"/>
      <w:bookmarkEnd w:id="0"/>
      <w:bookmarkEnd w:id="1"/>
      <w:bookmarkEnd w:id="2"/>
      <w:bookmarkEnd w:id="3"/>
      <w:bookmarkEnd w:id="4"/>
      <w:bookmarkEnd w:id="5"/>
      <w:bookmarkEnd w:id="6"/>
      <w:r>
        <w:rPr>
          <w:b/>
        </w:rPr>
        <w:t>Договор №</w:t>
      </w:r>
      <w:bookmarkEnd w:id="8"/>
      <w:bookmarkEnd w:id="9"/>
      <w:bookmarkEnd w:id="10"/>
      <w:bookmarkEnd w:id="11"/>
      <w:bookmarkEnd w:id="12"/>
      <w:bookmarkEnd w:id="13"/>
    </w:p>
    <w:p>
      <w:pPr>
        <w:keepNext/>
        <w:jc w:val="center"/>
        <w:rPr>
          <w:b/>
          <w:sz w:val="36"/>
          <w:szCs w:val="36"/>
        </w:rPr>
      </w:pPr>
      <w:r>
        <w:rPr>
          <w:b/>
        </w:rPr>
        <w:t>на поставку питьевой очищенной бутилированной воды</w:t>
      </w:r>
    </w:p>
    <w:p>
      <w:pPr>
        <w:keepNext/>
        <w:tabs>
          <w:tab w:val="right" w:pos="9540"/>
        </w:tabs>
        <w:ind w:left="360"/>
      </w:pPr>
    </w:p>
    <w:p>
      <w:pPr>
        <w:keepNext/>
        <w:tabs>
          <w:tab w:val="right" w:pos="9540"/>
        </w:tabs>
        <w:jc w:val="center"/>
      </w:pPr>
      <w:r>
        <w:t>город Сосновый Бор</w:t>
      </w:r>
      <w:r>
        <w:tab/>
        <w:t>«   »        2014  года</w:t>
      </w:r>
    </w:p>
    <w:p>
      <w:pPr>
        <w:keepNext/>
        <w:ind w:left="360"/>
      </w:pPr>
    </w:p>
    <w:p>
      <w:pPr>
        <w:keepNext/>
        <w:shd w:val="clear" w:color="auto" w:fill="FFFFFF"/>
        <w:spacing w:before="120" w:after="120"/>
        <w:jc w:val="both"/>
        <w:rPr>
          <w:spacing w:val="-1"/>
        </w:rPr>
      </w:pPr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открытого </w:t>
      </w:r>
      <w:r>
        <w:t>запроса цен,</w:t>
      </w:r>
      <w:r>
        <w:rPr>
          <w:spacing w:val="3"/>
        </w:rPr>
        <w:t xml:space="preserve"> ( Протокол_________) заключили настоящий Договор</w:t>
      </w:r>
      <w:r>
        <w:rPr>
          <w:spacing w:val="-1"/>
        </w:rPr>
        <w:t xml:space="preserve"> о нижеследующем:</w:t>
      </w:r>
    </w:p>
    <w:p>
      <w:pPr>
        <w:keepNext/>
        <w:shd w:val="clear" w:color="auto" w:fill="FFFFFF"/>
        <w:spacing w:before="120" w:after="120"/>
        <w:jc w:val="both"/>
        <w:rPr>
          <w:spacing w:val="-1"/>
        </w:rPr>
      </w:pPr>
    </w:p>
    <w:p>
      <w:pPr>
        <w:pStyle w:val="-"/>
        <w:tabs>
          <w:tab w:val="clear" w:pos="0"/>
          <w:tab w:val="num" w:pos="540"/>
        </w:tabs>
        <w:suppressAutoHyphens w:val="0"/>
        <w:spacing w:before="240" w:after="60"/>
        <w:outlineLvl w:val="1"/>
      </w:pPr>
      <w:r>
        <w:t>Определения</w:t>
      </w:r>
    </w:p>
    <w:p>
      <w:pPr>
        <w:pStyle w:val="-0"/>
        <w:keepNext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толкование:</w:t>
      </w:r>
    </w:p>
    <w:p>
      <w:pPr>
        <w:pStyle w:val="-2"/>
        <w:keepNext/>
        <w:numPr>
          <w:ilvl w:val="1"/>
          <w:numId w:val="42"/>
        </w:numPr>
        <w:spacing w:before="60" w:after="60"/>
      </w:pPr>
      <w:r>
        <w:t>«Договор» - соглашение, достигнутое между Покупателем и Поставщиком по результатам открытого запроса цен (в электронной форме</w:t>
      </w:r>
      <w:r>
        <w:rPr>
          <w:i/>
        </w:rPr>
        <w:t>)</w:t>
      </w:r>
      <w:r>
        <w:t xml:space="preserve">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и документации на участие в открытом запросе цен); </w:t>
      </w:r>
    </w:p>
    <w:p>
      <w:pPr>
        <w:pStyle w:val="-2"/>
        <w:keepNext/>
        <w:numPr>
          <w:ilvl w:val="1"/>
          <w:numId w:val="42"/>
        </w:numPr>
        <w:spacing w:before="60" w:after="60"/>
      </w:pPr>
      <w:r>
        <w:t>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pStyle w:val="-2"/>
        <w:keepNext/>
        <w:numPr>
          <w:ilvl w:val="1"/>
          <w:numId w:val="42"/>
        </w:numPr>
        <w:spacing w:before="60" w:after="60"/>
      </w:pPr>
      <w:r>
        <w:t>«Товар» - продукция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>
      <w:pPr>
        <w:pStyle w:val="-"/>
        <w:suppressAutoHyphens w:val="0"/>
        <w:spacing w:before="240" w:after="60"/>
        <w:outlineLvl w:val="1"/>
      </w:pPr>
      <w:bookmarkStart w:id="14" w:name="_Toc157679431"/>
      <w:bookmarkStart w:id="15" w:name="_Toc168144774"/>
      <w:bookmarkStart w:id="16" w:name="_Toc168159760"/>
      <w:bookmarkStart w:id="17" w:name="_Toc213335118"/>
      <w:bookmarkStart w:id="18" w:name="_Toc213679121"/>
      <w:bookmarkStart w:id="19" w:name="_Toc213679199"/>
      <w:r>
        <w:t>Предмет Договора</w:t>
      </w:r>
      <w:bookmarkEnd w:id="14"/>
      <w:bookmarkEnd w:id="15"/>
      <w:bookmarkEnd w:id="16"/>
      <w:bookmarkEnd w:id="17"/>
      <w:bookmarkEnd w:id="18"/>
      <w:bookmarkEnd w:id="19"/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 xml:space="preserve">питьевой очищенной бутилированной воды </w:t>
      </w:r>
      <w:r>
        <w:t xml:space="preserve"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Покупатель обязуется принять и оплатить переданный Товар. 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 . Цена договора не должна превышать  ____  руб. ____коп. (_____________________.) , включая НДС ___%: __________ руб. _____ коп. (_____).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Тара возвращается Поставщику по мере использования питьевой воды.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Поставщик поставляет Покупателю Товар , свободный от прав третьих лиц.</w:t>
      </w:r>
    </w:p>
    <w:p>
      <w:pPr>
        <w:pStyle w:val="-0"/>
        <w:keepNext/>
        <w:tabs>
          <w:tab w:val="clear" w:pos="2471"/>
          <w:tab w:val="left" w:pos="0"/>
        </w:tabs>
        <w:ind w:left="0" w:firstLine="0"/>
      </w:pPr>
      <w:r>
        <w:lastRenderedPageBreak/>
        <w:t>Поставка Товара  осуществляется Поставщиком на условиях DDP (ИНКОТЕРМС 2000) с разгрузкой с транспортного средства Покупателю по адресу склада Покупателя: г. Сосновый Бор Ленинградской области, ФГУП «НИТИ им. А.П. Александрова».</w:t>
      </w:r>
    </w:p>
    <w:p>
      <w:pPr>
        <w:pStyle w:val="-"/>
      </w:pPr>
      <w:bookmarkStart w:id="20" w:name="_Toc157679432"/>
      <w:bookmarkStart w:id="21" w:name="_Toc168144775"/>
      <w:bookmarkStart w:id="22" w:name="_Toc168159761"/>
      <w:bookmarkStart w:id="23" w:name="_Toc213335119"/>
      <w:bookmarkStart w:id="24" w:name="_Toc213679122"/>
      <w:bookmarkStart w:id="25" w:name="_Toc213679200"/>
      <w:r>
        <w:t>Цена Договора</w:t>
      </w:r>
      <w:bookmarkEnd w:id="20"/>
      <w:bookmarkEnd w:id="21"/>
      <w:bookmarkEnd w:id="22"/>
      <w:bookmarkEnd w:id="23"/>
      <w:bookmarkEnd w:id="24"/>
      <w:bookmarkEnd w:id="25"/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Цена Договора включает в себя стоимость Товара, доставку  до Покупателя, расходы на перевозку, упаковку, экспедирование, уплату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Цена Товара фиксируется в накладной и счёт – фактуре.</w:t>
      </w:r>
    </w:p>
    <w:p>
      <w:pPr>
        <w:pStyle w:val="-"/>
        <w:suppressAutoHyphens w:val="0"/>
        <w:spacing w:before="240" w:after="60"/>
        <w:outlineLvl w:val="1"/>
      </w:pPr>
      <w:bookmarkStart w:id="26" w:name="_Toc157679434"/>
      <w:bookmarkStart w:id="27" w:name="_Toc168144777"/>
      <w:bookmarkStart w:id="28" w:name="_Toc168159763"/>
      <w:bookmarkStart w:id="29" w:name="_Toc213335120"/>
      <w:bookmarkStart w:id="30" w:name="_Toc213679123"/>
      <w:bookmarkStart w:id="31" w:name="_Toc213679201"/>
      <w:r>
        <w:t>Нормы и стандарты</w:t>
      </w:r>
      <w:bookmarkEnd w:id="26"/>
      <w:bookmarkEnd w:id="27"/>
      <w:bookmarkEnd w:id="28"/>
      <w:bookmarkEnd w:id="29"/>
      <w:bookmarkEnd w:id="30"/>
      <w:bookmarkEnd w:id="31"/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Товар,  поставляемый по настоящему Договору, должен соответствовать Техническим требованиям (Приложение № 2 к настоящему Договору). Если в Технических требованиях имеются ссылки на нормы и стандарты, в соответствии с которыми должен поставляться Товар, необходимо применять нормы и стандарты, действующие на момент подписания Договора.</w:t>
      </w:r>
    </w:p>
    <w:p>
      <w:pPr>
        <w:pStyle w:val="-"/>
        <w:suppressAutoHyphens w:val="0"/>
        <w:spacing w:before="240" w:after="60"/>
        <w:outlineLvl w:val="1"/>
      </w:pPr>
      <w:bookmarkStart w:id="32" w:name="_Toc157679437"/>
      <w:bookmarkStart w:id="33" w:name="_Toc168144780"/>
      <w:bookmarkStart w:id="34" w:name="_Toc168159766"/>
      <w:bookmarkStart w:id="35" w:name="_Toc213335121"/>
      <w:bookmarkStart w:id="36" w:name="_Toc213679124"/>
      <w:bookmarkStart w:id="37" w:name="_Toc213679202"/>
      <w:r>
        <w:t>Права и обязанности сторон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keepNext/>
        <w:tabs>
          <w:tab w:val="clear" w:pos="851"/>
          <w:tab w:val="num" w:pos="0"/>
        </w:tabs>
        <w:ind w:left="0" w:firstLine="0"/>
      </w:pPr>
      <w:r>
        <w:t>Поставить Товар  Покупателю на условиях, предусмотренных в настоящем Договоре и в сроки, установленные Спецификацией (Приложение № 1 к настоящему Договору).</w:t>
      </w:r>
    </w:p>
    <w:p>
      <w:pPr>
        <w:pStyle w:val="-1"/>
        <w:keepNext/>
        <w:tabs>
          <w:tab w:val="clear" w:pos="851"/>
          <w:tab w:val="num" w:pos="0"/>
        </w:tabs>
        <w:ind w:left="0" w:firstLine="0"/>
      </w:pPr>
      <w:r>
        <w:t>Передать во временное безвозмездное пользование кулеры ( аппараты для нагрева и охлаждения воды) в количестве 40 штук (дата выпуска не ранее 2013 года). Обеспечить техническое обслуживание, профилактику и ремонт предоставленных кулеров. При наличии неисправностей, Поставщик производит замену кулеров на аналогичные. Оказывать услуги по профилактической чистке кулеров, имеющихся в наличии у Покупателя бесплатно, не реже 1 ( одного) раза в 6 (шесть) месяцев.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keepNext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в порядке, предусмотренном Разделом 10 настоящего Договора.</w:t>
      </w:r>
    </w:p>
    <w:p>
      <w:pPr>
        <w:pStyle w:val="-"/>
        <w:suppressAutoHyphens w:val="0"/>
        <w:spacing w:before="240" w:after="60"/>
        <w:outlineLvl w:val="1"/>
      </w:pPr>
      <w:r>
        <w:t>Упаковка и маркировка</w:t>
      </w:r>
      <w:bookmarkEnd w:id="32"/>
      <w:bookmarkEnd w:id="33"/>
      <w:bookmarkEnd w:id="34"/>
      <w:bookmarkEnd w:id="35"/>
      <w:bookmarkEnd w:id="36"/>
      <w:bookmarkEnd w:id="37"/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 xml:space="preserve">ы соответствовать требованиям нормативных актов Российской Федерации. 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>
      <w:pPr>
        <w:pStyle w:val="-"/>
        <w:numPr>
          <w:ilvl w:val="0"/>
          <w:numId w:val="0"/>
        </w:numPr>
        <w:jc w:val="left"/>
      </w:pPr>
    </w:p>
    <w:p>
      <w:pPr>
        <w:pStyle w:val="-"/>
        <w:suppressAutoHyphens w:val="0"/>
        <w:spacing w:before="240" w:after="60"/>
        <w:outlineLvl w:val="1"/>
      </w:pPr>
      <w:bookmarkStart w:id="38" w:name="_Toc157679438"/>
      <w:bookmarkStart w:id="39" w:name="_Toc168144781"/>
      <w:bookmarkStart w:id="40" w:name="_Toc168159767"/>
      <w:bookmarkStart w:id="41" w:name="_Toc213335122"/>
      <w:bookmarkStart w:id="42" w:name="_Toc213679125"/>
      <w:bookmarkStart w:id="43" w:name="_Toc213679203"/>
      <w:r>
        <w:lastRenderedPageBreak/>
        <w:t>Поставка товара  и документация</w:t>
      </w:r>
      <w:bookmarkEnd w:id="38"/>
      <w:bookmarkEnd w:id="39"/>
      <w:bookmarkEnd w:id="40"/>
      <w:bookmarkEnd w:id="41"/>
      <w:bookmarkEnd w:id="42"/>
      <w:bookmarkEnd w:id="43"/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2.5 настоящего Договора, в сроки, предусмотренные Спецификации (Приложение № 1 к настоящему Договору). 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отгрузки.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За 2 календарных дня до начала поставки Поставщик направляет Покупателю извещение о  готовности Товара  к отгрузке. Не позднее чем за 1 день до расчетной даты прибытия к месту указанному в п. 2.5 договора, сообщает Покупателю данные для оформления пропуска ( Ф.И.О. водителя, марка и номер а/м).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Фактической датой поставки партии Товара считается дата, указанная Покупателем в Товарной накладной ТОРГ-12.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следующую документацию:</w:t>
      </w:r>
    </w:p>
    <w:p>
      <w:pPr>
        <w:pStyle w:val="-2"/>
        <w:keepNext/>
        <w:numPr>
          <w:ilvl w:val="1"/>
          <w:numId w:val="36"/>
        </w:numPr>
        <w:spacing w:before="60" w:after="60"/>
      </w:pPr>
      <w:r>
        <w:t xml:space="preserve">документы о сертификации Товара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копии, сертификаты (или декларации) соответствия и т.д.); </w:t>
      </w:r>
    </w:p>
    <w:p>
      <w:pPr>
        <w:pStyle w:val="-2"/>
        <w:keepNext/>
        <w:numPr>
          <w:ilvl w:val="1"/>
          <w:numId w:val="36"/>
        </w:numPr>
        <w:spacing w:before="60" w:after="60"/>
      </w:pPr>
      <w:r>
        <w:t>товарную накладную в 2-х экз. (один экземпляр для Покупателя и один экземпляр для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keepNext/>
        <w:numPr>
          <w:ilvl w:val="1"/>
          <w:numId w:val="36"/>
        </w:numPr>
        <w:spacing w:before="60" w:after="60"/>
      </w:pPr>
      <w:r>
        <w:t>счет, счет-фактуру, выставленные Покупателю.</w:t>
      </w:r>
    </w:p>
    <w:p>
      <w:pPr>
        <w:pStyle w:val="-2"/>
        <w:keepNext/>
        <w:numPr>
          <w:ilvl w:val="1"/>
          <w:numId w:val="36"/>
        </w:numPr>
        <w:spacing w:before="60" w:after="60"/>
      </w:pPr>
      <w:r>
        <w:t>акт приема-передачи Товара (форма установлена в Приложении №3 к настоящему договору) в 2-х экз. (один экземпляр для Покупателя и один экземпляр для Поставщика).</w:t>
      </w:r>
    </w:p>
    <w:p>
      <w:pPr>
        <w:pStyle w:val="-2"/>
        <w:keepNext/>
        <w:numPr>
          <w:ilvl w:val="1"/>
          <w:numId w:val="36"/>
        </w:numPr>
        <w:spacing w:before="60" w:after="60"/>
      </w:pPr>
      <w:r>
        <w:t>Акт сверки взаиморасчётов между Продавцом и Покупателем ( по запросу).</w:t>
      </w:r>
    </w:p>
    <w:p>
      <w:pPr>
        <w:pStyle w:val="-"/>
        <w:suppressAutoHyphens w:val="0"/>
        <w:spacing w:before="240" w:after="60"/>
        <w:outlineLvl w:val="1"/>
      </w:pPr>
      <w:bookmarkStart w:id="44" w:name="_Toc157679439"/>
      <w:bookmarkStart w:id="45" w:name="_Toc168144782"/>
      <w:bookmarkStart w:id="46" w:name="_Toc168159768"/>
      <w:bookmarkStart w:id="47" w:name="_Toc213335123"/>
      <w:bookmarkStart w:id="48" w:name="_Toc213679126"/>
      <w:bookmarkStart w:id="49" w:name="_Toc213679204"/>
      <w:r>
        <w:t xml:space="preserve">Порядок приемки Товара </w:t>
      </w:r>
      <w:bookmarkEnd w:id="44"/>
      <w:bookmarkEnd w:id="45"/>
      <w:bookmarkEnd w:id="46"/>
      <w:bookmarkEnd w:id="47"/>
      <w:bookmarkEnd w:id="48"/>
      <w:bookmarkEnd w:id="49"/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соответствия количества и качества поставляемого Товара  в ходе передачи Товара  Покупателю на месте доставки.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 (в ред. Постановлений Госарбитража СССР от 29.12.1973 N 81, от 14.11.1974 N 98, с изм., внесенными Постановлением Пленума ВАС РФ от 22.10.1997 N 18)) и № П-7 (утвержденной постановлением Госарбитража при Совете Министров СССР от 25 апреля 1966 г. (в ред. Постановлений Госарбитража СССР от 29.12.1973 N 81, от 14.11.1974 N 98, с изм., внесенными Постановлением Пленума ВАС РФ от 22.10.1997 N 18)).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В случае поставки Товара , несоответствующего по качеству,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Товар) надлежащего качества и комплектное, несет Поставщик.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 xml:space="preserve">Восполнение недопоставки, 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предусмотренные Договором. 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По факту приемки Товара соответствующего по качеству,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 4</w:t>
      </w:r>
      <w:r>
        <w:rPr>
          <w:color w:val="FF0000"/>
        </w:rPr>
        <w:t xml:space="preserve"> </w:t>
      </w:r>
      <w:r>
        <w:t>к настоящему Договору)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</w:p>
    <w:p>
      <w:pPr>
        <w:pStyle w:val="-"/>
        <w:suppressAutoHyphens w:val="0"/>
        <w:spacing w:before="240" w:after="60"/>
        <w:outlineLvl w:val="1"/>
      </w:pPr>
      <w:bookmarkStart w:id="50" w:name="_Toc157679441"/>
      <w:bookmarkStart w:id="51" w:name="_Toc168144784"/>
      <w:bookmarkStart w:id="52" w:name="_Toc168159770"/>
      <w:bookmarkStart w:id="53" w:name="_Toc213335125"/>
      <w:bookmarkStart w:id="54" w:name="_Toc213679128"/>
      <w:bookmarkStart w:id="55" w:name="_Toc213679206"/>
      <w:r>
        <w:t>Гаранти</w:t>
      </w:r>
      <w:bookmarkEnd w:id="50"/>
      <w:bookmarkEnd w:id="51"/>
      <w:bookmarkEnd w:id="52"/>
      <w:bookmarkEnd w:id="53"/>
      <w:bookmarkEnd w:id="54"/>
      <w:bookmarkEnd w:id="55"/>
      <w:r>
        <w:t>ЙНЫЕ ОБЯЗАТЕЛЬСТВА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 xml:space="preserve">Поставщик настоящим гарантирует, что Товар , поставленный в рамках настоящего Договора, является новым (не бывшим в эксплуатации), неиспользованным.  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гарантию качества Товара  Поставщика, оформленные соответствующими сертификатами качества или аналогичными документами.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keepNext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Товара, безупречное качество изготовления Товара  и его сборки;</w:t>
      </w:r>
    </w:p>
    <w:p>
      <w:pPr>
        <w:pStyle w:val="-2"/>
        <w:keepNext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условиям настоящего Договора;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При обнаружении в течение гарантийного срока, указанного в п.9.2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</w:p>
    <w:p>
      <w:pPr>
        <w:pStyle w:val="-0"/>
        <w:keepNext/>
        <w:numPr>
          <w:ilvl w:val="0"/>
          <w:numId w:val="0"/>
        </w:numPr>
        <w:spacing w:before="60" w:after="60"/>
      </w:pPr>
      <w:r>
        <w:tab/>
        <w:t xml:space="preserve">В случае необоснованной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 </w:t>
      </w:r>
    </w:p>
    <w:p>
      <w:pPr>
        <w:pStyle w:val="-0"/>
        <w:keepNext/>
        <w:numPr>
          <w:ilvl w:val="0"/>
          <w:numId w:val="0"/>
        </w:numPr>
        <w:spacing w:before="60" w:after="60"/>
      </w:pPr>
      <w:r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гарантии, указанного в п.9.2 настоящего Договора, либо заменить Товар и/или его части ненадлежащего качества на Товар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, если они произошли:</w:t>
      </w:r>
    </w:p>
    <w:p>
      <w:pPr>
        <w:pStyle w:val="-2"/>
        <w:keepNext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>
      <w:pPr>
        <w:pStyle w:val="-2"/>
        <w:keepNext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Сроки гарантии и иные гарантийные обязательства, предусмотренные разделом 9 настоящего Договора регулируются ст.470-477 ГК РФ.</w:t>
      </w:r>
    </w:p>
    <w:p>
      <w:pPr>
        <w:pStyle w:val="-"/>
      </w:pPr>
      <w:bookmarkStart w:id="56" w:name="_Toc157679443"/>
      <w:bookmarkStart w:id="57" w:name="_Toc168144786"/>
      <w:bookmarkStart w:id="58" w:name="_Toc168159772"/>
      <w:bookmarkStart w:id="59" w:name="_Toc213335126"/>
      <w:bookmarkStart w:id="60" w:name="_Toc213679129"/>
      <w:bookmarkStart w:id="61" w:name="_Toc213679207"/>
      <w:r>
        <w:t>Порядок оплаты</w:t>
      </w:r>
      <w:bookmarkEnd w:id="56"/>
      <w:bookmarkEnd w:id="57"/>
      <w:bookmarkEnd w:id="58"/>
      <w:bookmarkEnd w:id="59"/>
      <w:bookmarkEnd w:id="60"/>
      <w:bookmarkEnd w:id="61"/>
    </w:p>
    <w:p>
      <w:pPr>
        <w:pStyle w:val="-0"/>
        <w:keepNext/>
        <w:tabs>
          <w:tab w:val="clear" w:pos="2471"/>
        </w:tabs>
        <w:ind w:left="0" w:firstLine="0"/>
      </w:pPr>
      <w:bookmarkStart w:id="62" w:name="_Toc213335127"/>
      <w:bookmarkStart w:id="63" w:name="_Toc213679130"/>
      <w:bookmarkStart w:id="64" w:name="_Toc213679208"/>
      <w:r>
        <w:t>Цена Договора и валюта платежа устанавливается в российских рублях.</w:t>
      </w:r>
    </w:p>
    <w:p>
      <w:pPr>
        <w:pStyle w:val="-0"/>
        <w:keepNext/>
        <w:tabs>
          <w:tab w:val="clear" w:pos="247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>
      <w:pPr>
        <w:pStyle w:val="-0"/>
        <w:keepNext/>
        <w:tabs>
          <w:tab w:val="clear" w:pos="2471"/>
          <w:tab w:val="num" w:pos="0"/>
        </w:tabs>
        <w:ind w:left="0" w:firstLine="0"/>
      </w:pPr>
      <w:bookmarkStart w:id="65" w:name="_Ref125462083"/>
      <w:r>
        <w:t xml:space="preserve">Оплата за Товар в рамках Договора </w:t>
      </w:r>
      <w:bookmarkEnd w:id="65"/>
      <w:r>
        <w:t xml:space="preserve">осуществляется: </w:t>
      </w:r>
    </w:p>
    <w:p>
      <w:pPr>
        <w:pStyle w:val="-0"/>
        <w:keepNext/>
        <w:numPr>
          <w:ilvl w:val="0"/>
          <w:numId w:val="19"/>
        </w:numPr>
        <w:ind w:left="1134"/>
      </w:pPr>
      <w:r>
        <w:t>по факту поставки Товара; в течение 20 банковских дней после предоставления Покупателю документов, предусмотренных подпунктом а), б), в) пункта 7.5 Договора и подписания Товарно-Транспортной накладной.</w:t>
      </w:r>
    </w:p>
    <w:p>
      <w:pPr>
        <w:pStyle w:val="-0"/>
        <w:keepNext/>
        <w:numPr>
          <w:ilvl w:val="0"/>
          <w:numId w:val="0"/>
        </w:numPr>
        <w:ind w:left="1134"/>
      </w:pPr>
    </w:p>
    <w:p>
      <w:pPr>
        <w:pStyle w:val="-"/>
        <w:suppressAutoHyphens w:val="0"/>
      </w:pPr>
      <w:r>
        <w:t>ответственность сторон</w:t>
      </w:r>
      <w:bookmarkEnd w:id="62"/>
      <w:bookmarkEnd w:id="63"/>
      <w:bookmarkEnd w:id="64"/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 , за каждый день просрочки.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Покупатель вправе потребовать с Поставщика уплаты штрафа в размере 10 процентов от стоимости некачественного Товара 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Товара, не предоставления относящихся к Товару 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>
      <w:pPr>
        <w:pStyle w:val="-0"/>
        <w:keepNext/>
        <w:tabs>
          <w:tab w:val="clear" w:pos="2471"/>
        </w:tabs>
        <w:spacing w:before="60" w:after="60"/>
        <w:ind w:left="0" w:firstLine="0"/>
      </w:pPr>
      <w:r>
        <w:t>В случае нарушения Поставщиком обязательства по п. 2.3 договора (в т.ч. отсутствии прав третьих лиц на результаты интеллектуальной собственности, включая программное обеспечение), Поставщик обязан возместить все убытки Покупателя, связанные с указанным нарушением.</w:t>
      </w:r>
    </w:p>
    <w:p>
      <w:pPr>
        <w:pStyle w:val="-0"/>
        <w:keepNext/>
        <w:tabs>
          <w:tab w:val="clear" w:pos="2471"/>
        </w:tabs>
        <w:spacing w:before="60" w:after="60"/>
        <w:ind w:left="0" w:firstLine="0"/>
      </w:pPr>
      <w:r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keepNext/>
        <w:tabs>
          <w:tab w:val="clear" w:pos="2471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обязательств по Договору (может производиться Покупателем путем удержания их из представленного обеспечения возврата аванса (исполнения обязательств по договору с уведомлением Поставщика и)) не освобождает Поставщика от исполнения обязательств в натуре.</w:t>
      </w:r>
    </w:p>
    <w:p>
      <w:pPr>
        <w:pStyle w:val="-0"/>
        <w:keepNext/>
        <w:tabs>
          <w:tab w:val="clear" w:pos="2471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Госкорпорации «Росатом»  и организаций Госкорпорации «Росатом» сроком на два года.</w:t>
      </w:r>
    </w:p>
    <w:p>
      <w:pPr>
        <w:pStyle w:val="-"/>
        <w:suppressAutoHyphens w:val="0"/>
        <w:spacing w:before="240" w:after="60"/>
        <w:outlineLvl w:val="1"/>
      </w:pP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  <w:r>
        <w:t>Срок действия Договора</w:t>
      </w:r>
      <w:bookmarkEnd w:id="66"/>
      <w:bookmarkEnd w:id="67"/>
      <w:bookmarkEnd w:id="68"/>
      <w:bookmarkEnd w:id="69"/>
      <w:bookmarkEnd w:id="70"/>
      <w:bookmarkEnd w:id="71"/>
    </w:p>
    <w:p>
      <w:pPr>
        <w:pStyle w:val="-0"/>
        <w:keepNext/>
        <w:numPr>
          <w:ilvl w:val="0"/>
          <w:numId w:val="0"/>
        </w:numPr>
        <w:spacing w:before="60" w:after="60"/>
      </w:pPr>
      <w:r>
        <w:t xml:space="preserve">Настоящий Договор вступает в силу с момента подписания Сторонами и действует до  31.12.2014. Договор считается выполненным, если выполнены взаимные обязательства Сторон, возникшие в период действия настоящего Договора. 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Настоящий Договор может быть расторгнут:</w:t>
      </w:r>
    </w:p>
    <w:p>
      <w:pPr>
        <w:pStyle w:val="-0"/>
        <w:keepNext/>
        <w:numPr>
          <w:ilvl w:val="1"/>
          <w:numId w:val="26"/>
        </w:numPr>
        <w:tabs>
          <w:tab w:val="clear" w:pos="2471"/>
          <w:tab w:val="num" w:pos="1418"/>
        </w:tabs>
        <w:spacing w:before="60" w:after="60"/>
        <w:ind w:left="1418"/>
      </w:pPr>
      <w:r>
        <w:t>по соглашению сторон;</w:t>
      </w:r>
    </w:p>
    <w:p>
      <w:pPr>
        <w:pStyle w:val="-0"/>
        <w:keepNext/>
        <w:numPr>
          <w:ilvl w:val="1"/>
          <w:numId w:val="26"/>
        </w:numPr>
        <w:tabs>
          <w:tab w:val="clear" w:pos="2471"/>
          <w:tab w:val="num" w:pos="1418"/>
        </w:tabs>
        <w:spacing w:before="60" w:after="60"/>
        <w:ind w:left="1418"/>
      </w:pPr>
      <w:r>
        <w:t>в одностороннем порядке в случае существенного нарушения условий договора одной из сторон;</w:t>
      </w:r>
    </w:p>
    <w:p>
      <w:pPr>
        <w:pStyle w:val="-0"/>
        <w:keepNext/>
        <w:numPr>
          <w:ilvl w:val="1"/>
          <w:numId w:val="26"/>
        </w:numPr>
        <w:tabs>
          <w:tab w:val="clear" w:pos="2471"/>
          <w:tab w:val="num" w:pos="1418"/>
        </w:tabs>
        <w:spacing w:before="60" w:after="60"/>
        <w:ind w:left="1418"/>
      </w:pPr>
      <w:r>
        <w:t>по решению суда.</w:t>
      </w:r>
    </w:p>
    <w:p>
      <w:pPr>
        <w:pStyle w:val="-0"/>
        <w:keepNext/>
        <w:numPr>
          <w:ilvl w:val="0"/>
          <w:numId w:val="0"/>
        </w:numPr>
        <w:spacing w:before="60" w:after="60"/>
        <w:ind w:left="1418"/>
      </w:pPr>
    </w:p>
    <w:p>
      <w:pPr>
        <w:pStyle w:val="-"/>
        <w:suppressAutoHyphens w:val="0"/>
        <w:spacing w:before="240" w:after="60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>
        <w:t>форс-мажор</w:t>
      </w:r>
      <w:bookmarkEnd w:id="72"/>
      <w:bookmarkEnd w:id="73"/>
      <w:bookmarkEnd w:id="74"/>
      <w:bookmarkEnd w:id="75"/>
      <w:bookmarkEnd w:id="76"/>
      <w:bookmarkEnd w:id="77"/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uppressAutoHyphens w:val="0"/>
        <w:spacing w:before="240" w:after="60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>
        <w:t>Уведомления</w:t>
      </w:r>
      <w:bookmarkEnd w:id="78"/>
      <w:bookmarkEnd w:id="79"/>
      <w:bookmarkEnd w:id="80"/>
      <w:bookmarkEnd w:id="81"/>
      <w:bookmarkEnd w:id="82"/>
      <w:bookmarkEnd w:id="83"/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телеграммы, факса или письма по адресу другой стороны, с подтверждением о получении.</w:t>
      </w:r>
    </w:p>
    <w:p>
      <w:pPr>
        <w:pStyle w:val="-"/>
        <w:suppressAutoHyphens w:val="0"/>
        <w:spacing w:before="240" w:after="60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</w:t>
      </w:r>
      <w:r>
        <w:t>Приложение № 3</w:t>
      </w:r>
      <w:r>
        <w:rPr>
          <w:rStyle w:val="FontStyle22"/>
          <w:sz w:val="24"/>
          <w:szCs w:val="24"/>
        </w:rPr>
        <w:t xml:space="preserve"> (далее - Сведения), являются полными, точными и достоверными.</w:t>
      </w:r>
    </w:p>
    <w:p>
      <w:pPr>
        <w:pStyle w:val="-0"/>
        <w:keepNext/>
        <w:tabs>
          <w:tab w:val="clear" w:pos="2471"/>
          <w:tab w:val="num" w:pos="0"/>
        </w:tabs>
        <w:spacing w:before="60" w:after="60"/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>
      <w:pPr>
        <w:pStyle w:val="-0"/>
        <w:keepNext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keepNext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keepNext/>
        <w:numPr>
          <w:ilvl w:val="1"/>
          <w:numId w:val="17"/>
        </w:numPr>
        <w:tabs>
          <w:tab w:val="left" w:pos="567"/>
          <w:tab w:val="num" w:pos="1561"/>
        </w:tabs>
        <w:ind w:left="0" w:firstLine="0"/>
      </w:pPr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уведомлении»</w:t>
      </w:r>
    </w:p>
    <w:p>
      <w:pPr>
        <w:pStyle w:val="-0"/>
        <w:keepNext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законодательством Российской Федерации.</w:t>
      </w:r>
    </w:p>
    <w:p>
      <w:pPr>
        <w:pStyle w:val="-0"/>
        <w:keepNext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переговоров, направлением претензий. Срок ответа на претензию 30 дней с момента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ответчика.</w:t>
      </w:r>
    </w:p>
    <w:p>
      <w:pPr>
        <w:pStyle w:val="-0"/>
        <w:keepNext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keepNext/>
        <w:numPr>
          <w:ilvl w:val="0"/>
          <w:numId w:val="0"/>
        </w:numPr>
        <w:spacing w:before="60" w:after="60"/>
        <w:ind w:left="1620"/>
      </w:pPr>
      <w:r>
        <w:t>Неотъемлемой частью настоящего Договора являются:</w:t>
      </w:r>
    </w:p>
    <w:p>
      <w:pPr>
        <w:pStyle w:val="-0"/>
        <w:keepNext/>
        <w:numPr>
          <w:ilvl w:val="0"/>
          <w:numId w:val="0"/>
        </w:numPr>
        <w:spacing w:before="60" w:after="60"/>
        <w:ind w:left="567"/>
      </w:pPr>
      <w:r>
        <w:t>Приложение № 1: Спецификация;</w:t>
      </w:r>
    </w:p>
    <w:p>
      <w:pPr>
        <w:pStyle w:val="-0"/>
        <w:keepNext/>
        <w:numPr>
          <w:ilvl w:val="0"/>
          <w:numId w:val="0"/>
        </w:numPr>
        <w:spacing w:before="60" w:after="60"/>
        <w:ind w:left="567"/>
      </w:pPr>
      <w:r>
        <w:t>Приложение № 2: Технические требования;</w:t>
      </w:r>
    </w:p>
    <w:p>
      <w:pPr>
        <w:pStyle w:val="-0"/>
        <w:keepNext/>
        <w:numPr>
          <w:ilvl w:val="0"/>
          <w:numId w:val="0"/>
        </w:numPr>
        <w:spacing w:before="60" w:after="60"/>
        <w:ind w:left="567"/>
      </w:pPr>
      <w:r>
        <w:t>Приложение № 3: Информация о цепочке собственников контрагента;</w:t>
      </w:r>
    </w:p>
    <w:p>
      <w:pPr>
        <w:pStyle w:val="-0"/>
        <w:keepNext/>
        <w:numPr>
          <w:ilvl w:val="0"/>
          <w:numId w:val="0"/>
        </w:numPr>
        <w:spacing w:before="60" w:after="60"/>
        <w:ind w:left="567"/>
      </w:pPr>
      <w:r>
        <w:t>Приложение № 4 : Подтверждение отнесения Поставщика к субъектам МСП;</w:t>
      </w:r>
    </w:p>
    <w:p>
      <w:pPr>
        <w:keepNext/>
        <w:ind w:left="567"/>
      </w:pPr>
      <w:r>
        <w:t>Приложение № 5: Акт приема-передачи Товара .</w:t>
      </w:r>
    </w:p>
    <w:p>
      <w:pPr>
        <w:pStyle w:val="-0"/>
        <w:sectPr>
          <w:footerReference w:type="default" r:id="rId9"/>
          <w:type w:val="continuous"/>
          <w:pgSz w:w="11907" w:h="16840" w:code="9"/>
          <w:pgMar w:top="1134" w:right="850" w:bottom="1134" w:left="1701" w:header="720" w:footer="720" w:gutter="0"/>
          <w:paperSrc w:first="7" w:other="7"/>
          <w:cols w:space="720"/>
          <w:docGrid w:linePitch="326"/>
        </w:sectPr>
      </w:pPr>
    </w:p>
    <w:p>
      <w:pPr>
        <w:pStyle w:val="-"/>
        <w:suppressAutoHyphens w:val="0"/>
        <w:spacing w:before="240" w:after="60"/>
        <w:outlineLvl w:val="1"/>
      </w:pPr>
      <w:bookmarkStart w:id="90" w:name="_Toc157679451"/>
      <w:bookmarkStart w:id="91" w:name="_Toc168144794"/>
      <w:bookmarkStart w:id="92" w:name="_Toc168159780"/>
      <w:bookmarkStart w:id="93" w:name="_Toc213335132"/>
      <w:bookmarkStart w:id="94" w:name="_Toc213679135"/>
      <w:bookmarkStart w:id="95" w:name="_Toc213679213"/>
      <w:r>
        <w:t>реквизиты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keepNext/>
              <w:spacing w:before="120" w:after="240" w:line="240" w:lineRule="exact"/>
              <w:rPr>
                <w:bCs/>
              </w:rPr>
            </w:pPr>
            <w:r>
              <w:rPr>
                <w:bCs/>
              </w:rPr>
              <w:t>Покупатель:</w:t>
            </w:r>
          </w:p>
          <w:p>
            <w:pPr>
              <w:keepNext/>
              <w:spacing w:line="240" w:lineRule="exact"/>
            </w:pPr>
            <w:r>
              <w:t>ФГУП «НИТИ им. А.П. Александрова»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472601001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188540 Ленинградская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lang w:val="en-US"/>
              </w:rPr>
              <w:t>E</w:t>
            </w:r>
            <w:r>
              <w:rPr>
                <w:rStyle w:val="FontStyle14"/>
                <w:rFonts w:ascii="Times New Roman" w:hAnsi="Times New Roman" w:cs="Times New Roman"/>
              </w:rPr>
              <w:t>-</w:t>
            </w:r>
            <w:r>
              <w:rPr>
                <w:rStyle w:val="FontStyle14"/>
                <w:rFonts w:ascii="Times New Roman" w:hAnsi="Times New Roman" w:cs="Times New Roman"/>
                <w:lang w:val="en-US"/>
              </w:rPr>
              <w:t>mail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: </w:t>
            </w:r>
            <w:r>
              <w:rPr>
                <w:rStyle w:val="FontStyle14"/>
                <w:rFonts w:ascii="Times New Roman" w:hAnsi="Times New Roman" w:cs="Times New Roman"/>
                <w:lang w:val="en-US"/>
              </w:rPr>
              <w:t>olgalukniti</w:t>
            </w:r>
            <w:r>
              <w:rPr>
                <w:rStyle w:val="FontStyle14"/>
                <w:rFonts w:ascii="Times New Roman" w:hAnsi="Times New Roman" w:cs="Times New Roman"/>
              </w:rPr>
              <w:t>@</w:t>
            </w:r>
            <w:r>
              <w:rPr>
                <w:rStyle w:val="FontStyle14"/>
                <w:rFonts w:ascii="Times New Roman" w:hAnsi="Times New Roman" w:cs="Times New Roman"/>
                <w:lang w:val="en-US"/>
              </w:rPr>
              <w:t>yandex</w:t>
            </w:r>
            <w:r>
              <w:rPr>
                <w:rStyle w:val="FontStyle14"/>
                <w:rFonts w:ascii="Times New Roman" w:hAnsi="Times New Roman" w:cs="Times New Roman"/>
              </w:rPr>
              <w:t>.</w:t>
            </w:r>
            <w:r>
              <w:rPr>
                <w:rStyle w:val="FontStyle14"/>
                <w:rFonts w:ascii="Times New Roman" w:hAnsi="Times New Roman" w:cs="Times New Roman"/>
                <w:lang w:val="en-US"/>
              </w:rPr>
              <w:t>ru</w:t>
            </w:r>
          </w:p>
          <w:p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</w:t>
            </w:r>
            <w:r>
              <w:rPr>
                <w:rStyle w:val="FontStyle14"/>
                <w:rFonts w:ascii="Times New Roman" w:hAnsi="Times New Roman" w:cs="Times New Roman"/>
                <w:bCs/>
              </w:rPr>
              <w:t>Р/с 40502810655360100226, БИК 044030653, кор. 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>
            <w:pPr>
              <w:keepNext/>
              <w:spacing w:line="240" w:lineRule="exact"/>
            </w:pPr>
          </w:p>
          <w:p>
            <w:pPr>
              <w:keepNext/>
              <w:spacing w:line="240" w:lineRule="exact"/>
            </w:pPr>
          </w:p>
        </w:tc>
        <w:tc>
          <w:tcPr>
            <w:tcW w:w="4968" w:type="dxa"/>
          </w:tcPr>
          <w:p>
            <w:pPr>
              <w:keepNext/>
              <w:spacing w:before="120" w:after="240" w:line="240" w:lineRule="exact"/>
              <w:jc w:val="center"/>
              <w:rPr>
                <w:bCs/>
              </w:rPr>
            </w:pPr>
            <w:r>
              <w:rPr>
                <w:bCs/>
              </w:rPr>
              <w:t>Поставщик:</w:t>
            </w:r>
          </w:p>
          <w:p>
            <w:pPr>
              <w:keepNext/>
              <w:tabs>
                <w:tab w:val="right" w:pos="4536"/>
              </w:tabs>
              <w:spacing w:before="120" w:after="240" w:line="240" w:lineRule="exact"/>
              <w:rPr>
                <w:bCs/>
              </w:rPr>
            </w:pPr>
          </w:p>
        </w:tc>
      </w:tr>
    </w:tbl>
    <w:p>
      <w:pPr>
        <w:pStyle w:val="-"/>
        <w:numPr>
          <w:ilvl w:val="0"/>
          <w:numId w:val="26"/>
        </w:numPr>
        <w:suppressAutoHyphens w:val="0"/>
        <w:spacing w:before="240" w:after="60"/>
        <w:outlineLvl w:val="1"/>
        <w:rPr>
          <w:lang w:val="en-US"/>
        </w:rPr>
      </w:pPr>
      <w:bookmarkStart w:id="96" w:name="_Toc157679452"/>
      <w:bookmarkStart w:id="97" w:name="_Toc168144795"/>
      <w:bookmarkStart w:id="98" w:name="_Toc168159781"/>
      <w:bookmarkStart w:id="99" w:name="_Toc213335133"/>
      <w:bookmarkStart w:id="100" w:name="_Toc213679136"/>
      <w:bookmarkStart w:id="101" w:name="_Toc213679214"/>
      <w:r>
        <w:t>Подписи сторон</w:t>
      </w:r>
      <w:bookmarkEnd w:id="96"/>
      <w:bookmarkEnd w:id="97"/>
      <w:bookmarkEnd w:id="98"/>
      <w:bookmarkEnd w:id="99"/>
      <w:bookmarkEnd w:id="100"/>
      <w:bookmarkEnd w:id="101"/>
    </w:p>
    <w:p>
      <w:pPr>
        <w:pStyle w:val="-0"/>
        <w:numPr>
          <w:ilvl w:val="0"/>
          <w:numId w:val="0"/>
        </w:numPr>
        <w:ind w:left="2471"/>
        <w:rPr>
          <w:lang w:val="en-US"/>
        </w:rPr>
      </w:pPr>
    </w:p>
    <w:p>
      <w:pPr>
        <w:pStyle w:val="-0"/>
        <w:keepNext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keepNext/>
              <w:spacing w:line="360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keepNext/>
              <w:spacing w:line="360" w:lineRule="auto"/>
              <w:ind w:left="456" w:hangingChars="190" w:hanging="456"/>
            </w:pPr>
            <w:r>
              <w:t>Генеральный директор</w:t>
            </w:r>
          </w:p>
          <w:p>
            <w:pPr>
              <w:keepNext/>
              <w:spacing w:line="360" w:lineRule="auto"/>
              <w:ind w:left="456" w:hangingChars="190" w:hanging="456"/>
            </w:pPr>
            <w:r>
              <w:t>_______________ В.А. Василенко</w:t>
            </w:r>
          </w:p>
          <w:p>
            <w:pPr>
              <w:keepNext/>
              <w:spacing w:line="360" w:lineRule="auto"/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keepNext/>
              <w:spacing w:line="360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keepNext/>
              <w:spacing w:line="360" w:lineRule="auto"/>
              <w:ind w:left="458" w:hangingChars="190" w:hanging="458"/>
              <w:rPr>
                <w:b/>
              </w:rPr>
            </w:pPr>
          </w:p>
          <w:p>
            <w:pPr>
              <w:keepNext/>
              <w:spacing w:line="360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 </w:t>
            </w:r>
          </w:p>
          <w:p>
            <w:pPr>
              <w:keepNext/>
              <w:spacing w:line="360" w:lineRule="auto"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</w:tc>
      </w:tr>
    </w:tbl>
    <w:p>
      <w:pPr>
        <w:keepNext/>
        <w:sectPr>
          <w:pgSz w:w="11907" w:h="16840" w:code="9"/>
          <w:pgMar w:top="1134" w:right="850" w:bottom="1134" w:left="1701" w:header="720" w:footer="720" w:gutter="0"/>
          <w:paperSrc w:first="7" w:other="7"/>
          <w:cols w:space="720"/>
          <w:docGrid w:linePitch="326"/>
        </w:sectPr>
      </w:pPr>
    </w:p>
    <w:p>
      <w:pPr>
        <w:keepNext/>
        <w:jc w:val="right"/>
      </w:pPr>
      <w:r>
        <w:t>Приложение № 1 к Договору №________ от «     »      2014 года</w:t>
      </w:r>
    </w:p>
    <w:p>
      <w:pPr>
        <w:keepNext/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suppressAutoHyphens w:val="0"/>
        <w:outlineLvl w:val="0"/>
      </w:pPr>
      <w:bookmarkStart w:id="102" w:name="_Toc213679215"/>
      <w:bookmarkStart w:id="103" w:name="_Toc213679137"/>
      <w:bookmarkStart w:id="104" w:name="_Toc213335134"/>
      <w:bookmarkStart w:id="105" w:name="_Toc168159782"/>
      <w:bookmarkStart w:id="106" w:name="_Toc168144796"/>
      <w:bookmarkStart w:id="107" w:name="_Toc157679453"/>
      <w:r>
        <w:t>СПЕЦИФИКАЦИЯ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keepNext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Вода питьевая очищенная бутилированная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pStyle w:val="afb"/>
              <w:keepNext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keepNext/>
              <w:rPr>
                <w:b/>
                <w:sz w:val="24"/>
                <w:szCs w:val="24"/>
              </w:rPr>
            </w:pPr>
          </w:p>
        </w:tc>
      </w:tr>
    </w:tbl>
    <w:p>
      <w:pPr>
        <w:keepNext/>
        <w:ind w:left="360"/>
        <w:rPr>
          <w:b/>
        </w:rPr>
      </w:pPr>
    </w:p>
    <w:p>
      <w:pPr>
        <w:pStyle w:val="-2"/>
        <w:keepNext/>
        <w:numPr>
          <w:ilvl w:val="0"/>
          <w:numId w:val="0"/>
        </w:numPr>
        <w:tabs>
          <w:tab w:val="num" w:pos="1701"/>
        </w:tabs>
      </w:pPr>
      <w:r>
        <w:t>Итого: Цена Договора не превышает ____________ (_________________.) , включая НДС по ставке __% – __________ руб. _____ коп. (________________________) руб.</w:t>
      </w:r>
    </w:p>
    <w:p>
      <w:pPr>
        <w:pStyle w:val="-2"/>
        <w:keepNext/>
        <w:numPr>
          <w:ilvl w:val="0"/>
          <w:numId w:val="0"/>
        </w:numPr>
        <w:tabs>
          <w:tab w:val="num" w:pos="1701"/>
        </w:tabs>
      </w:pPr>
    </w:p>
    <w:p>
      <w:pPr>
        <w:pStyle w:val="-2"/>
        <w:keepNext/>
        <w:numPr>
          <w:ilvl w:val="0"/>
          <w:numId w:val="0"/>
        </w:numPr>
        <w:tabs>
          <w:tab w:val="num" w:pos="1701"/>
        </w:tabs>
      </w:pPr>
    </w:p>
    <w:p>
      <w:pPr>
        <w:pStyle w:val="-2"/>
        <w:keepNext/>
        <w:numPr>
          <w:ilvl w:val="2"/>
          <w:numId w:val="36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Дополнительные сведения о Поставщике</w:t>
      </w:r>
    </w:p>
    <w:p>
      <w:pPr>
        <w:pStyle w:val="-2"/>
        <w:keepNext/>
        <w:numPr>
          <w:ilvl w:val="0"/>
          <w:numId w:val="0"/>
        </w:numPr>
        <w:ind w:left="2204"/>
        <w:jc w:val="center"/>
        <w:rPr>
          <w:b/>
          <w:sz w:val="28"/>
          <w:szCs w:val="28"/>
        </w:rPr>
      </w:pPr>
    </w:p>
    <w:tbl>
      <w:tblPr>
        <w:tblStyle w:val="aff9"/>
        <w:tblW w:w="9781" w:type="dxa"/>
        <w:tblInd w:w="-34" w:type="dxa"/>
        <w:tblLook w:val="04A0" w:firstRow="1" w:lastRow="0" w:firstColumn="1" w:lastColumn="0" w:noHBand="0" w:noVBand="1"/>
      </w:tblPr>
      <w:tblGrid>
        <w:gridCol w:w="1985"/>
        <w:gridCol w:w="2552"/>
        <w:gridCol w:w="2126"/>
        <w:gridCol w:w="3118"/>
      </w:tblGrid>
      <w:tr>
        <w:tc>
          <w:tcPr>
            <w:tcW w:w="1985" w:type="dxa"/>
          </w:tcPr>
          <w:p>
            <w:pPr>
              <w:pStyle w:val="-2"/>
              <w:keepNext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552" w:type="dxa"/>
          </w:tcPr>
          <w:p>
            <w:pPr>
              <w:pStyle w:val="-2"/>
              <w:keepNext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2"/>
              <w:keepNext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2"/>
              <w:keepNext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-2"/>
              <w:keepNext/>
              <w:numPr>
                <w:ilvl w:val="0"/>
                <w:numId w:val="0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>
            <w:pPr>
              <w:pStyle w:val="-2"/>
              <w:keepNext/>
              <w:numPr>
                <w:ilvl w:val="0"/>
                <w:numId w:val="0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>
            <w:pPr>
              <w:pStyle w:val="-2"/>
              <w:keepNext/>
              <w:numPr>
                <w:ilvl w:val="0"/>
                <w:numId w:val="0"/>
              </w:numPr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>
            <w:pPr>
              <w:pStyle w:val="-2"/>
              <w:keepNext/>
              <w:numPr>
                <w:ilvl w:val="0"/>
                <w:numId w:val="0"/>
              </w:numPr>
              <w:rPr>
                <w:b/>
                <w:sz w:val="28"/>
                <w:szCs w:val="28"/>
              </w:rPr>
            </w:pPr>
          </w:p>
        </w:tc>
      </w:tr>
    </w:tbl>
    <w:p>
      <w:pPr>
        <w:pStyle w:val="-2"/>
        <w:keepNext/>
        <w:numPr>
          <w:ilvl w:val="0"/>
          <w:numId w:val="0"/>
        </w:numPr>
        <w:ind w:left="2204"/>
        <w:rPr>
          <w:b/>
          <w:sz w:val="28"/>
          <w:szCs w:val="28"/>
        </w:rPr>
      </w:pPr>
    </w:p>
    <w:p>
      <w:pPr>
        <w:pStyle w:val="-"/>
        <w:numPr>
          <w:ilvl w:val="2"/>
          <w:numId w:val="36"/>
        </w:numPr>
        <w:suppressAutoHyphens w:val="0"/>
        <w:outlineLvl w:val="1"/>
      </w:pPr>
      <w:r>
        <w:rPr>
          <w:i/>
        </w:rPr>
        <w:t xml:space="preserve"> </w:t>
      </w:r>
      <w:r>
        <w:t>Сроки поставки</w:t>
      </w:r>
    </w:p>
    <w:tbl>
      <w:tblPr>
        <w:tblpPr w:leftFromText="181" w:rightFromText="181" w:vertAnchor="text" w:horzAnchor="margin" w:tblpXSpec="center" w:tblpY="143"/>
        <w:tblOverlap w:val="never"/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>
        <w:trPr>
          <w:trHeight w:val="315"/>
        </w:trPr>
        <w:tc>
          <w:tcPr>
            <w:tcW w:w="3167" w:type="dxa"/>
            <w:vMerge w:val="restart"/>
            <w:vAlign w:val="center"/>
            <w:hideMark/>
          </w:tcPr>
          <w:p>
            <w:pPr>
              <w:keepNext/>
              <w:rPr>
                <w:b/>
              </w:rPr>
            </w:pPr>
            <w:r>
              <w:rPr>
                <w:b/>
              </w:rPr>
              <w:t>Наименование Товара</w:t>
            </w:r>
          </w:p>
        </w:tc>
        <w:tc>
          <w:tcPr>
            <w:tcW w:w="3419" w:type="dxa"/>
            <w:vAlign w:val="center"/>
            <w:hideMark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</w:t>
            </w:r>
          </w:p>
        </w:tc>
        <w:tc>
          <w:tcPr>
            <w:tcW w:w="3239" w:type="dxa"/>
            <w:vAlign w:val="center"/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</w:t>
            </w:r>
          </w:p>
        </w:tc>
      </w:tr>
      <w:tr>
        <w:trPr>
          <w:trHeight w:val="315"/>
        </w:trPr>
        <w:tc>
          <w:tcPr>
            <w:tcW w:w="3167" w:type="dxa"/>
            <w:vMerge/>
            <w:vAlign w:val="center"/>
            <w:hideMark/>
          </w:tcPr>
          <w:p>
            <w:pPr>
              <w:keepNext/>
              <w:rPr>
                <w:b/>
              </w:rPr>
            </w:pPr>
          </w:p>
        </w:tc>
        <w:tc>
          <w:tcPr>
            <w:tcW w:w="3419" w:type="dxa"/>
            <w:vAlign w:val="center"/>
            <w:hideMark/>
          </w:tcPr>
          <w:p>
            <w:pPr>
              <w:pStyle w:val="af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момента заключения</w:t>
            </w:r>
            <w:r>
              <w:rPr>
                <w:sz w:val="24"/>
                <w:szCs w:val="24"/>
              </w:rPr>
              <w:br/>
              <w:t>договора  до 31.12.2014 (конкретный срок поставок по заявкам Покупателя)</w:t>
            </w:r>
          </w:p>
        </w:tc>
        <w:tc>
          <w:tcPr>
            <w:tcW w:w="3239" w:type="dxa"/>
            <w:vAlign w:val="center"/>
          </w:tcPr>
          <w:p>
            <w:pPr>
              <w:pStyle w:val="afa"/>
              <w:jc w:val="center"/>
              <w:rPr>
                <w:sz w:val="24"/>
                <w:szCs w:val="24"/>
              </w:rPr>
            </w:pPr>
          </w:p>
        </w:tc>
      </w:tr>
      <w:tr>
        <w:tc>
          <w:tcPr>
            <w:tcW w:w="3167" w:type="dxa"/>
            <w:vAlign w:val="center"/>
          </w:tcPr>
          <w:p>
            <w:pPr>
              <w:pStyle w:val="afb"/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Вода питьевая очищенная бутилированная</w:t>
            </w:r>
          </w:p>
        </w:tc>
        <w:tc>
          <w:tcPr>
            <w:tcW w:w="3419" w:type="dxa"/>
            <w:vAlign w:val="center"/>
          </w:tcPr>
          <w:p>
            <w:pPr>
              <w:pStyle w:val="afb"/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3239" w:type="dxa"/>
            <w:vAlign w:val="center"/>
          </w:tcPr>
          <w:p>
            <w:pPr>
              <w:pStyle w:val="afb"/>
              <w:keepNext/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2253"/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keepNext/>
              <w:ind w:left="458" w:hangingChars="190" w:hanging="458"/>
              <w:rPr>
                <w:b/>
              </w:rPr>
            </w:pPr>
          </w:p>
          <w:p>
            <w:pPr>
              <w:keepNext/>
              <w:ind w:left="458" w:hangingChars="190" w:hanging="458"/>
              <w:rPr>
                <w:b/>
              </w:rPr>
            </w:pPr>
          </w:p>
          <w:p>
            <w:pPr>
              <w:keepNext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keepNext/>
              <w:ind w:left="458" w:hangingChars="190" w:hanging="458"/>
              <w:rPr>
                <w:b/>
              </w:rPr>
            </w:pPr>
          </w:p>
          <w:p>
            <w:pPr>
              <w:keepNext/>
              <w:ind w:left="458" w:hangingChars="190" w:hanging="458"/>
              <w:rPr>
                <w:b/>
              </w:rPr>
            </w:pPr>
          </w:p>
          <w:p>
            <w:pPr>
              <w:keepNext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  <w:r>
              <w:t>__________________________ М.П.</w:t>
            </w: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  <w:p>
            <w:pPr>
              <w:keepNext/>
              <w:ind w:left="456" w:hangingChars="190" w:hanging="456"/>
            </w:pPr>
          </w:p>
        </w:tc>
      </w:tr>
    </w:tbl>
    <w:p>
      <w:pPr>
        <w:keepNext/>
        <w:rPr>
          <w:i/>
        </w:rPr>
      </w:pPr>
    </w:p>
    <w:p>
      <w:pPr>
        <w:keepNext/>
        <w:sectPr>
          <w:pgSz w:w="11907" w:h="16840" w:code="9"/>
          <w:pgMar w:top="1134" w:right="850" w:bottom="1134" w:left="1701" w:header="720" w:footer="720" w:gutter="0"/>
          <w:paperSrc w:first="7" w:other="7"/>
          <w:cols w:space="720"/>
          <w:docGrid w:linePitch="326"/>
        </w:sectPr>
      </w:pPr>
    </w:p>
    <w:p>
      <w:pPr>
        <w:keepNext/>
        <w:jc w:val="right"/>
      </w:pPr>
      <w:r>
        <w:t>Приложение № 2   к Договору _______от «    » ________ 2014года</w:t>
      </w:r>
    </w:p>
    <w:p>
      <w:pPr>
        <w:keepNext/>
        <w:jc w:val="right"/>
      </w:pPr>
    </w:p>
    <w:p>
      <w:pPr>
        <w:keepNext/>
        <w:jc w:val="right"/>
      </w:pPr>
    </w:p>
    <w:p>
      <w:pPr>
        <w:keepNext/>
        <w:jc w:val="center"/>
        <w:rPr>
          <w:b/>
        </w:rPr>
      </w:pPr>
      <w:r>
        <w:rPr>
          <w:b/>
        </w:rPr>
        <w:t>Технические требования</w:t>
      </w:r>
    </w:p>
    <w:tbl>
      <w:tblPr>
        <w:tblStyle w:val="aff9"/>
        <w:tblpPr w:leftFromText="180" w:rightFromText="180" w:vertAnchor="text" w:horzAnchor="margin" w:tblpXSpec="center" w:tblpY="185"/>
        <w:tblW w:w="10456" w:type="dxa"/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7371"/>
        <w:gridCol w:w="567"/>
        <w:gridCol w:w="850"/>
      </w:tblGrid>
      <w:tr>
        <w:trPr>
          <w:trHeight w:val="24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60"/>
              <w:ind w:right="100" w:firstLine="0"/>
              <w:jc w:val="center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60"/>
              <w:ind w:right="100" w:firstLine="0"/>
              <w:jc w:val="center"/>
              <w:rPr>
                <w:b/>
                <w:bCs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ТМЦ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60"/>
              <w:ind w:firstLine="0"/>
              <w:rPr>
                <w:b/>
              </w:rPr>
            </w:pPr>
            <w:r>
              <w:rPr>
                <w:b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  <w:p>
            <w:pPr>
              <w:spacing w:after="60"/>
              <w:ind w:firstLine="0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after="6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60"/>
              <w:ind w:right="-108" w:firstLine="0"/>
              <w:rPr>
                <w:b/>
                <w:bCs/>
              </w:rPr>
            </w:pPr>
            <w:r>
              <w:rPr>
                <w:b/>
              </w:rPr>
              <w:t>Количество</w:t>
            </w:r>
          </w:p>
        </w:tc>
      </w:tr>
      <w:tr>
        <w:trPr>
          <w:trHeight w:val="56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ind w:right="-66"/>
              <w:jc w:val="center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Вода питьевая очищен-</w:t>
            </w:r>
          </w:p>
          <w:p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ная бутилированная емкость 18,9 л</w:t>
            </w:r>
          </w:p>
          <w:p>
            <w:pPr>
              <w:spacing w:after="60"/>
              <w:ind w:right="-66" w:firstLine="0"/>
              <w:rPr>
                <w:bCs/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180"/>
                <w:tab w:val="left" w:pos="360"/>
                <w:tab w:val="left" w:pos="709"/>
              </w:tabs>
              <w:rPr>
                <w:b/>
                <w:szCs w:val="26"/>
              </w:rPr>
            </w:pPr>
            <w:r>
              <w:rPr>
                <w:szCs w:val="26"/>
              </w:rPr>
              <w:t>Вода прозрачная, бесцветная, без запаха, не содержащая болезнетворных микроорганизмов, полностью очищена от тяжелых металлов, активного хлора, хлорорганических соединений, общая минерализация не более 1000 мг/дм</w:t>
            </w:r>
            <w:r>
              <w:rPr>
                <w:szCs w:val="26"/>
                <w:vertAlign w:val="superscript"/>
              </w:rPr>
              <w:t>3</w:t>
            </w:r>
            <w:r>
              <w:rPr>
                <w:szCs w:val="26"/>
              </w:rPr>
              <w:t>. Общая жесткость не более 7 мг-экв/л. Не ниже требований для воды первой категории качества.</w:t>
            </w:r>
          </w:p>
          <w:p>
            <w:pPr>
              <w:tabs>
                <w:tab w:val="left" w:pos="180"/>
                <w:tab w:val="left" w:pos="360"/>
                <w:tab w:val="left" w:pos="709"/>
              </w:tabs>
              <w:rPr>
                <w:bCs/>
                <w:szCs w:val="26"/>
              </w:rPr>
            </w:pPr>
            <w:r>
              <w:rPr>
                <w:b/>
                <w:szCs w:val="26"/>
              </w:rPr>
              <w:t xml:space="preserve">Требования к соответствию товара: </w:t>
            </w:r>
          </w:p>
          <w:p>
            <w:pPr>
              <w:tabs>
                <w:tab w:val="left" w:pos="180"/>
                <w:tab w:val="left" w:pos="360"/>
                <w:tab w:val="left" w:pos="709"/>
                <w:tab w:val="left" w:pos="1134"/>
              </w:tabs>
              <w:rPr>
                <w:bCs/>
                <w:szCs w:val="26"/>
              </w:rPr>
            </w:pPr>
            <w:r>
              <w:t xml:space="preserve">1.  </w:t>
            </w:r>
            <w:r>
              <w:rPr>
                <w:bCs/>
                <w:szCs w:val="26"/>
              </w:rPr>
              <w:t>Соответствие воды питьевой санитарным правилам СанПиН 2.1.4.1116-02 «Гигиенические требования к качеству воды, расфасованной в ёмкости. Контроль качества»;</w:t>
            </w:r>
          </w:p>
          <w:p>
            <w:pPr>
              <w:tabs>
                <w:tab w:val="left" w:pos="180"/>
                <w:tab w:val="left" w:pos="360"/>
                <w:tab w:val="left" w:pos="709"/>
                <w:tab w:val="left" w:pos="1134"/>
              </w:tabs>
              <w:rPr>
                <w:bCs/>
                <w:szCs w:val="26"/>
              </w:rPr>
            </w:pPr>
            <w:r>
              <w:rPr>
                <w:bCs/>
                <w:szCs w:val="26"/>
              </w:rPr>
              <w:t>2. Соответствие воды питьевой санитарным правилам СанПиН 2.3.2.1078-01 «Гигиенические требования безопасности и пищевой ценности пищевых продуктов».</w:t>
            </w:r>
          </w:p>
          <w:p>
            <w:pPr>
              <w:tabs>
                <w:tab w:val="left" w:pos="180"/>
                <w:tab w:val="left" w:pos="360"/>
                <w:tab w:val="left" w:pos="709"/>
                <w:tab w:val="left" w:pos="1134"/>
              </w:tabs>
              <w:rPr>
                <w:bCs/>
                <w:szCs w:val="26"/>
              </w:rPr>
            </w:pPr>
            <w:r>
              <w:rPr>
                <w:bCs/>
                <w:szCs w:val="26"/>
              </w:rPr>
              <w:t>3. Соответствие ГОСТ Р52109-2003 «Вода питьевая, расфасованная в емкости».</w:t>
            </w:r>
          </w:p>
          <w:p>
            <w:pPr>
              <w:tabs>
                <w:tab w:val="num" w:pos="851"/>
              </w:tabs>
              <w:rPr>
                <w:kern w:val="2"/>
              </w:rPr>
            </w:pPr>
            <w:r>
              <w:rPr>
                <w:b/>
                <w:szCs w:val="26"/>
              </w:rPr>
              <w:t>Срок годности:</w:t>
            </w:r>
            <w:r>
              <w:rPr>
                <w:kern w:val="2"/>
                <w:szCs w:val="26"/>
              </w:rPr>
              <w:t xml:space="preserve"> не менее 12 месяцев со дня розлива, при этом остаточный срок годности на момент поставки не менее 6 месяцев.</w:t>
            </w:r>
          </w:p>
          <w:p>
            <w:pPr>
              <w:spacing w:after="60"/>
              <w:ind w:firstLine="0"/>
              <w:rPr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center" w:pos="4153"/>
                <w:tab w:val="right" w:pos="8306"/>
              </w:tabs>
              <w:spacing w:after="60"/>
              <w:ind w:right="-30" w:firstLine="0"/>
              <w:rPr>
                <w:noProof/>
              </w:rPr>
            </w:pPr>
            <w:r>
              <w:rPr>
                <w:noProof/>
              </w:rPr>
              <w:t xml:space="preserve"> </w:t>
            </w:r>
          </w:p>
          <w:p>
            <w:pPr>
              <w:tabs>
                <w:tab w:val="center" w:pos="4153"/>
                <w:tab w:val="right" w:pos="8306"/>
              </w:tabs>
              <w:spacing w:after="60"/>
              <w:ind w:right="-30" w:firstLine="0"/>
              <w:rPr>
                <w:noProof/>
              </w:rPr>
            </w:pPr>
            <w:r>
              <w:rPr>
                <w:noProof/>
              </w:rPr>
              <w:t>Бут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tabs>
                <w:tab w:val="left" w:pos="602"/>
                <w:tab w:val="left" w:pos="871"/>
                <w:tab w:val="left" w:pos="1051"/>
                <w:tab w:val="left" w:pos="1231"/>
                <w:tab w:val="center" w:pos="4153"/>
                <w:tab w:val="right" w:pos="8306"/>
              </w:tabs>
              <w:spacing w:after="60"/>
              <w:ind w:right="-28" w:firstLine="0"/>
              <w:rPr>
                <w:noProof/>
              </w:rPr>
            </w:pPr>
          </w:p>
          <w:p>
            <w:pPr>
              <w:tabs>
                <w:tab w:val="left" w:pos="602"/>
                <w:tab w:val="left" w:pos="871"/>
                <w:tab w:val="left" w:pos="1051"/>
                <w:tab w:val="left" w:pos="1231"/>
                <w:tab w:val="center" w:pos="4153"/>
                <w:tab w:val="right" w:pos="8306"/>
              </w:tabs>
              <w:spacing w:after="60"/>
              <w:ind w:right="-28" w:firstLine="0"/>
              <w:rPr>
                <w:noProof/>
              </w:rPr>
            </w:pPr>
            <w:r>
              <w:rPr>
                <w:noProof/>
              </w:rPr>
              <w:t>14000</w:t>
            </w:r>
          </w:p>
        </w:tc>
      </w:tr>
    </w:tbl>
    <w:p>
      <w:pPr>
        <w:tabs>
          <w:tab w:val="left" w:pos="4678"/>
        </w:tabs>
        <w:spacing w:before="100" w:beforeAutospacing="1"/>
        <w:jc w:val="center"/>
        <w:rPr>
          <w:lang w:val="en-US"/>
        </w:rPr>
      </w:pPr>
    </w:p>
    <w:p>
      <w:pPr>
        <w:keepNext/>
      </w:pPr>
    </w:p>
    <w:p>
      <w:pPr>
        <w:keepNext/>
      </w:pPr>
    </w:p>
    <w:p>
      <w:pPr>
        <w:tabs>
          <w:tab w:val="left" w:pos="180"/>
          <w:tab w:val="left" w:pos="360"/>
          <w:tab w:val="left" w:pos="709"/>
          <w:tab w:val="left" w:pos="1134"/>
        </w:tabs>
        <w:rPr>
          <w:bCs/>
          <w:szCs w:val="26"/>
        </w:rPr>
      </w:pPr>
      <w:r>
        <w:rPr>
          <w:bCs/>
          <w:szCs w:val="26"/>
        </w:rPr>
        <w:t>Покупатель (ФГУП «НИТИ им. А.П.Александрова») оставляет за собой право на выборочную проверку качества любой партии воды питьевой бутилированной; в случае выявления несоответствия качества сопроводительным документам, вся поступившая продукция возвращается поставщику, с последующим рассмотрением возможности дальнейшего сотрудничества.</w:t>
      </w:r>
    </w:p>
    <w:p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>
      <w:pPr>
        <w:pStyle w:val="-0"/>
        <w:numPr>
          <w:ilvl w:val="0"/>
          <w:numId w:val="45"/>
        </w:num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  </w:t>
      </w:r>
    </w:p>
    <w:p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>
      <w:pPr>
        <w:rPr>
          <w:b/>
          <w:kern w:val="2"/>
          <w:u w:val="single"/>
        </w:rPr>
      </w:pPr>
      <w:r>
        <w:rPr>
          <w:b/>
          <w:kern w:val="2"/>
          <w:u w:val="single"/>
        </w:rPr>
        <w:t>Возврат пустой тары:</w:t>
      </w:r>
    </w:p>
    <w:p>
      <w:pPr>
        <w:rPr>
          <w:kern w:val="2"/>
        </w:rPr>
      </w:pPr>
      <w:r>
        <w:rPr>
          <w:kern w:val="2"/>
        </w:rPr>
        <w:t>Плата за возвратную тару с покупателя не взимается. Пустые бутыли возвращаются Поставщику по мере использования воды. Покупатель имеет право держать в обороте 30% бутылей от разовой поставки.</w:t>
      </w:r>
    </w:p>
    <w:p>
      <w:pPr>
        <w:rPr>
          <w:b/>
          <w:kern w:val="2"/>
          <w:u w:val="single"/>
        </w:rPr>
      </w:pPr>
      <w:r>
        <w:rPr>
          <w:b/>
          <w:kern w:val="2"/>
          <w:u w:val="single"/>
        </w:rPr>
        <w:t>Аренда кулеров:</w:t>
      </w:r>
    </w:p>
    <w:p>
      <w:pPr>
        <w:rPr>
          <w:kern w:val="2"/>
        </w:rPr>
      </w:pPr>
      <w:r>
        <w:rPr>
          <w:kern w:val="2"/>
        </w:rPr>
        <w:t>Предоставление  в безвозмездную  аренду новых  (дата выпуска не раннее 2013 года) кулеров не менее 40 штук. Ремонт и  оказание услуг по профилактической чистке арендованных  кулеров производиться бесплатно.</w:t>
      </w:r>
    </w:p>
    <w:p>
      <w:pPr>
        <w:pStyle w:val="affa"/>
        <w:widowControl w:val="0"/>
        <w:numPr>
          <w:ilvl w:val="0"/>
          <w:numId w:val="46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i/>
        </w:rPr>
        <w:t>обязательное наличие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сопроводительной документации: (счет, </w:t>
      </w:r>
      <w:r>
        <w:rPr>
          <w:rFonts w:ascii="Times New Roman" w:hAnsi="Times New Roman"/>
          <w:sz w:val="24"/>
          <w:szCs w:val="24"/>
        </w:rPr>
        <w:t>счет-фактура, товарная накладная, товарно-транспортная накладная, качественное удостоверение и декларация о соответствии на каждую партию питьевой бутилированной воды</w:t>
      </w:r>
      <w:r>
        <w:rPr>
          <w:rFonts w:ascii="Times New Roman" w:hAnsi="Times New Roman"/>
          <w:bCs/>
          <w:sz w:val="24"/>
          <w:szCs w:val="24"/>
        </w:rPr>
        <w:t>).</w:t>
      </w:r>
    </w:p>
    <w:p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>
        <w:rPr>
          <w:b/>
        </w:rPr>
        <w:t>.</w:t>
      </w:r>
    </w:p>
    <w:p>
      <w:pPr>
        <w:keepNext/>
      </w:pPr>
    </w:p>
    <w:p>
      <w:pPr>
        <w:keepNext/>
      </w:pPr>
    </w:p>
    <w:p>
      <w:pPr>
        <w:keepNext/>
      </w:pPr>
    </w:p>
    <w:p>
      <w:pPr>
        <w:keepNext/>
      </w:pPr>
      <w:r>
        <w:t xml:space="preserve">От Покупателя  </w:t>
      </w:r>
      <w:r>
        <w:tab/>
      </w:r>
      <w:r>
        <w:tab/>
      </w:r>
      <w:r>
        <w:tab/>
      </w:r>
      <w:r>
        <w:tab/>
      </w:r>
      <w:r>
        <w:tab/>
      </w:r>
      <w:r>
        <w:tab/>
        <w:t>От Поставщика</w:t>
      </w:r>
    </w:p>
    <w:p>
      <w:pPr>
        <w:keepNext/>
      </w:pPr>
    </w:p>
    <w:p>
      <w:pPr>
        <w:keepNext/>
      </w:pPr>
    </w:p>
    <w:p>
      <w:pPr>
        <w:keepNext/>
        <w:sectPr>
          <w:type w:val="continuous"/>
          <w:pgSz w:w="11907" w:h="16840" w:code="9"/>
          <w:pgMar w:top="1134" w:right="850" w:bottom="1134" w:left="1701" w:header="720" w:footer="720" w:gutter="0"/>
          <w:paperSrc w:first="7" w:other="7"/>
          <w:cols w:space="720"/>
          <w:docGrid w:linePitch="326"/>
        </w:sectPr>
      </w:pPr>
      <w:r>
        <w:t xml:space="preserve"> ________________________МП  </w:t>
      </w:r>
      <w:r>
        <w:tab/>
      </w:r>
      <w:r>
        <w:tab/>
        <w:t xml:space="preserve"> ______________________МП</w:t>
      </w:r>
    </w:p>
    <w:p>
      <w:pPr>
        <w:keepNext/>
      </w:pPr>
      <w:r>
        <w:t xml:space="preserve">                                                                                                          Приложение № 3 к Договору № ______    от  «  »    2014 года</w:t>
      </w:r>
    </w:p>
    <w:p>
      <w:pPr>
        <w:keepNext/>
      </w:pPr>
    </w:p>
    <w:p>
      <w:pPr>
        <w:pStyle w:val="-"/>
        <w:numPr>
          <w:ilvl w:val="0"/>
          <w:numId w:val="0"/>
        </w:numPr>
        <w:suppressAutoHyphens w:val="0"/>
        <w:spacing w:after="0" w:line="360" w:lineRule="auto"/>
        <w:outlineLvl w:val="0"/>
        <w:rPr>
          <w:caps w:val="0"/>
        </w:rPr>
      </w:pPr>
      <w:r>
        <w:rPr>
          <w:caps w:val="0"/>
        </w:rPr>
        <w:t>ИНФОРМАЦИЯ О ЦЕПОЧКЕ СОБСТВЕННИКОВ КОНТРАГЕНТА</w:t>
      </w:r>
    </w:p>
    <w:p>
      <w:pPr>
        <w:keepNext/>
        <w:spacing w:line="360" w:lineRule="auto"/>
        <w:jc w:val="center"/>
      </w:pPr>
      <w:r>
        <w:t>включая бенефициаров (в том числе, конечных)</w:t>
      </w:r>
    </w:p>
    <w:p>
      <w:pPr>
        <w:keepNext/>
        <w:spacing w:line="360" w:lineRule="auto"/>
        <w:jc w:val="center"/>
      </w:pPr>
      <w:r>
        <w:rPr>
          <w:b/>
        </w:rPr>
        <w:t xml:space="preserve"> ПО ДОГОВОРУ №                от     «  »            2014 г.</w:t>
      </w:r>
    </w:p>
    <w:p>
      <w:pPr>
        <w:keepNext/>
      </w:pPr>
    </w:p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  <w:jc w:val="center"/>
            </w:pPr>
            <w:r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  <w:jc w:val="center"/>
            </w:pPr>
            <w:r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  <w:jc w:val="center"/>
            </w:pPr>
            <w:r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  <w:jc w:val="center"/>
            </w:pPr>
            <w:r>
              <w:t xml:space="preserve">Юридический </w:t>
            </w:r>
          </w:p>
          <w:p>
            <w:pPr>
              <w:keepNext/>
              <w:jc w:val="center"/>
            </w:pPr>
            <w:r>
              <w:t xml:space="preserve">адрес организации или адрес регистрации по месту </w:t>
            </w:r>
          </w:p>
          <w:p>
            <w:pPr>
              <w:keepNext/>
              <w:jc w:val="center"/>
            </w:pPr>
            <w:r>
              <w:t>жительства физического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  <w:jc w:val="center"/>
            </w:pPr>
            <w: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  <w:jc w:val="center"/>
            </w:pPr>
            <w:r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keepNext/>
              <w:jc w:val="center"/>
            </w:pPr>
            <w: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</w:tr>
      <w:tr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</w:tr>
      <w:tr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</w:tr>
      <w:tr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keepNext/>
            </w:pPr>
            <w:r>
              <w:t> </w:t>
            </w:r>
          </w:p>
        </w:tc>
      </w:tr>
    </w:tbl>
    <w:p>
      <w:pPr>
        <w:keepNext/>
        <w:ind w:left="458" w:hangingChars="190" w:hanging="458"/>
        <w:rPr>
          <w:b/>
        </w:rPr>
      </w:pPr>
    </w:p>
    <w:p>
      <w:pPr>
        <w:keepNext/>
        <w:ind w:left="458" w:hangingChars="190" w:hanging="458"/>
        <w:jc w:val="right"/>
        <w:rPr>
          <w:b/>
        </w:rPr>
      </w:pPr>
      <w:r>
        <w:rPr>
          <w:b/>
        </w:rPr>
        <w:t>От Покупателя:</w:t>
      </w:r>
    </w:p>
    <w:p>
      <w:pPr>
        <w:keepNext/>
        <w:ind w:left="458" w:hangingChars="190" w:hanging="458"/>
        <w:jc w:val="right"/>
        <w:rPr>
          <w:b/>
        </w:rPr>
      </w:pPr>
    </w:p>
    <w:p>
      <w:pPr>
        <w:keepNext/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>
      <w:pPr>
        <w:keepNext/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>
      <w:pPr>
        <w:keepNext/>
        <w:jc w:val="right"/>
        <w:sectPr>
          <w:type w:val="continuous"/>
          <w:pgSz w:w="16840" w:h="11907" w:orient="landscape" w:code="9"/>
          <w:pgMar w:top="1134" w:right="850" w:bottom="1134" w:left="1701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>
      <w:pPr>
        <w:spacing w:before="20" w:after="20"/>
        <w:jc w:val="center"/>
      </w:pPr>
    </w:p>
    <w:p>
      <w:pPr>
        <w:spacing w:before="20" w:after="20"/>
        <w:jc w:val="right"/>
      </w:pPr>
      <w:r>
        <w:t>Приложение № 4 к Договору №___________ от «____»______________года</w:t>
      </w:r>
    </w:p>
    <w:p>
      <w:pPr>
        <w:spacing w:before="20" w:after="20"/>
        <w:ind w:firstLine="709"/>
        <w:jc w:val="right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подтверждающий документ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  <w:r>
        <w:t xml:space="preserve"> </w:t>
      </w: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keepNext/>
        <w:jc w:val="right"/>
      </w:pPr>
      <w:r>
        <w:t>Приложение № 5  к Договору №___________ от «____»______________года</w:t>
      </w:r>
    </w:p>
    <w:p>
      <w:pPr>
        <w:keepNext/>
        <w:jc w:val="right"/>
      </w:pPr>
    </w:p>
    <w:p>
      <w:pPr>
        <w:keepNext/>
        <w:jc w:val="right"/>
      </w:pPr>
    </w:p>
    <w:p>
      <w:pPr>
        <w:pStyle w:val="-"/>
        <w:numPr>
          <w:ilvl w:val="0"/>
          <w:numId w:val="0"/>
        </w:numPr>
        <w:suppressAutoHyphens w:val="0"/>
        <w:spacing w:after="0"/>
        <w:outlineLvl w:val="0"/>
      </w:pPr>
      <w:bookmarkStart w:id="108" w:name="_Toc213679220"/>
      <w:bookmarkStart w:id="109" w:name="_Toc213679142"/>
      <w:bookmarkStart w:id="110" w:name="_Toc213335139"/>
      <w:bookmarkStart w:id="111" w:name="_Toc168159798"/>
      <w:bookmarkStart w:id="112" w:name="_Toc168144812"/>
      <w:bookmarkStart w:id="113" w:name="_Toc157679469"/>
      <w:r>
        <w:rPr>
          <w:caps w:val="0"/>
        </w:rPr>
        <w:t xml:space="preserve">АКТ ПРИЕМА-ПЕРЕДАЧИ ТОВАРА </w:t>
      </w:r>
      <w:bookmarkEnd w:id="108"/>
      <w:bookmarkEnd w:id="109"/>
      <w:bookmarkEnd w:id="110"/>
      <w:bookmarkEnd w:id="111"/>
      <w:bookmarkEnd w:id="112"/>
      <w:bookmarkEnd w:id="113"/>
    </w:p>
    <w:p>
      <w:pPr>
        <w:keepNext/>
        <w:jc w:val="center"/>
        <w:rPr>
          <w:b/>
        </w:rPr>
      </w:pPr>
      <w:r>
        <w:rPr>
          <w:b/>
        </w:rPr>
        <w:t>№___ от «___»_________2014 г.</w:t>
      </w:r>
    </w:p>
    <w:p>
      <w:pPr>
        <w:keepNext/>
        <w:jc w:val="center"/>
        <w:rPr>
          <w:b/>
        </w:rPr>
      </w:pPr>
      <w:r>
        <w:rPr>
          <w:b/>
        </w:rPr>
        <w:br/>
        <w:t>ПО ДОГОВОРУ №________     от «    »     2014 г.</w:t>
      </w:r>
    </w:p>
    <w:p>
      <w:pPr>
        <w:keepNext/>
        <w:jc w:val="center"/>
      </w:pPr>
    </w:p>
    <w:p>
      <w:pPr>
        <w:keepNext/>
        <w:jc w:val="both"/>
      </w:pPr>
      <w:r>
        <w:t>«Поставщик» __________, в лице _____________________, действующего на основании _____________________, с одной стороны и «Покупатель»  ФГУП «НИТИ им.А.П.Александрова»,  в лице Василенко В.А., действующего на основании  Устава, с другой стороны, составили настоящий акт о следующем:</w:t>
      </w:r>
    </w:p>
    <w:p>
      <w:pPr>
        <w:keepNext/>
        <w:jc w:val="both"/>
      </w:pPr>
    </w:p>
    <w:p>
      <w:pPr>
        <w:keepNext/>
        <w:jc w:val="both"/>
      </w:pPr>
      <w:r>
        <w:t>Поставщик поставил, а Покупатель принял следующий Товар  согласно Спецификации (Приложение №1 к Договору):питьевая очищенная бутилированная вода</w:t>
      </w:r>
    </w:p>
    <w:p>
      <w:pPr>
        <w:keepNext/>
      </w:pPr>
    </w:p>
    <w:p>
      <w:pPr>
        <w:keepNext/>
        <w:rPr>
          <w:bCs/>
        </w:rPr>
      </w:pPr>
      <w:r>
        <w:t>Стоимость поставленного Товара  составляет: _______________ (___________)</w:t>
      </w:r>
      <w:r>
        <w:rPr>
          <w:bCs/>
        </w:rPr>
        <w:t>,вкл. НДС __________________________________</w:t>
      </w:r>
    </w:p>
    <w:p>
      <w:pPr>
        <w:keepNext/>
      </w:pPr>
    </w:p>
    <w:p>
      <w:pPr>
        <w:keepNext/>
      </w:pPr>
    </w:p>
    <w:p>
      <w:pPr>
        <w:keepNext/>
        <w:jc w:val="both"/>
      </w:pPr>
      <w:r>
        <w:t>Покупатель несет полную материальную ответственность за принятый Товар . С момента подписания настоящего Акта приема-передачи все риски случайной гибели, утраты или повреждения оборудования переходят к Покупателю.</w:t>
      </w:r>
    </w:p>
    <w:p>
      <w:pPr>
        <w:keepNext/>
        <w:jc w:val="both"/>
      </w:pPr>
    </w:p>
    <w:p>
      <w:pPr>
        <w:keepNext/>
        <w:jc w:val="both"/>
      </w:pPr>
    </w:p>
    <w:p>
      <w:pPr>
        <w:keepNext/>
        <w:jc w:val="both"/>
      </w:pPr>
    </w:p>
    <w:p>
      <w:pPr>
        <w:keepNext/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keepNext/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keepNext/>
              <w:ind w:left="458" w:hangingChars="190" w:hanging="458"/>
              <w:rPr>
                <w:b/>
              </w:rPr>
            </w:pPr>
          </w:p>
          <w:p>
            <w:pPr>
              <w:keepNext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keepNext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keepNext/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keepNext/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keepNext/>
              <w:ind w:left="458" w:hangingChars="190" w:hanging="458"/>
              <w:rPr>
                <w:b/>
              </w:rPr>
            </w:pPr>
          </w:p>
          <w:p>
            <w:pPr>
              <w:keepNext/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keepNext/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keepNext/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keepNext/>
        <w:jc w:val="right"/>
      </w:pPr>
    </w:p>
    <w:p>
      <w:pPr>
        <w:pStyle w:val="-0"/>
        <w:keepNext/>
        <w:numPr>
          <w:ilvl w:val="0"/>
          <w:numId w:val="0"/>
        </w:numPr>
        <w:spacing w:before="60" w:after="60"/>
      </w:pPr>
    </w:p>
    <w:p>
      <w:pPr>
        <w:pStyle w:val="-0"/>
        <w:keepNext/>
        <w:numPr>
          <w:ilvl w:val="0"/>
          <w:numId w:val="0"/>
        </w:numPr>
        <w:spacing w:before="60" w:after="60"/>
      </w:pPr>
    </w:p>
    <w:p>
      <w:pPr>
        <w:pStyle w:val="-0"/>
        <w:keepNext/>
        <w:numPr>
          <w:ilvl w:val="0"/>
          <w:numId w:val="0"/>
        </w:numPr>
        <w:spacing w:before="60" w:after="60"/>
      </w:pPr>
    </w:p>
    <w:p>
      <w:pPr>
        <w:pStyle w:val="-0"/>
        <w:keepNext/>
        <w:numPr>
          <w:ilvl w:val="0"/>
          <w:numId w:val="0"/>
        </w:numPr>
        <w:spacing w:before="60" w:after="60"/>
      </w:pPr>
    </w:p>
    <w:p>
      <w:pPr>
        <w:pStyle w:val="-0"/>
        <w:keepNext/>
        <w:numPr>
          <w:ilvl w:val="0"/>
          <w:numId w:val="0"/>
        </w:numPr>
        <w:spacing w:before="60" w:after="60"/>
      </w:pPr>
    </w:p>
    <w:p>
      <w:pPr>
        <w:pStyle w:val="-0"/>
        <w:keepNext/>
        <w:numPr>
          <w:ilvl w:val="0"/>
          <w:numId w:val="0"/>
        </w:numPr>
        <w:spacing w:before="60" w:after="60"/>
      </w:pPr>
    </w:p>
    <w:p>
      <w:pPr>
        <w:pStyle w:val="-0"/>
        <w:keepNext/>
        <w:numPr>
          <w:ilvl w:val="0"/>
          <w:numId w:val="0"/>
        </w:numPr>
        <w:spacing w:before="60" w:after="60"/>
      </w:pPr>
    </w:p>
    <w:p>
      <w:pPr>
        <w:pStyle w:val="-0"/>
        <w:keepNext/>
        <w:numPr>
          <w:ilvl w:val="0"/>
          <w:numId w:val="0"/>
        </w:numPr>
        <w:spacing w:before="60" w:after="60"/>
      </w:pPr>
    </w:p>
    <w:p>
      <w:pPr>
        <w:pStyle w:val="-0"/>
        <w:keepNext/>
        <w:numPr>
          <w:ilvl w:val="0"/>
          <w:numId w:val="0"/>
        </w:numPr>
        <w:spacing w:before="60" w:after="60"/>
      </w:pPr>
    </w:p>
    <w:sectPr>
      <w:type w:val="continuous"/>
      <w:pgSz w:w="11907" w:h="16840" w:code="9"/>
      <w:pgMar w:top="1134" w:right="850" w:bottom="1134" w:left="1701" w:header="720" w:footer="720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2315060"/>
      <w:docPartObj>
        <w:docPartGallery w:val="Page Numbers (Bottom of Page)"/>
        <w:docPartUnique/>
      </w:docPartObj>
    </w:sdtPr>
    <w:sdtContent>
      <w:p>
        <w:pPr>
          <w:pStyle w:val="af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>
    <w:pPr>
      <w:pStyle w:val="af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DC23FA"/>
    <w:multiLevelType w:val="hybridMultilevel"/>
    <w:tmpl w:val="A7E46266"/>
    <w:lvl w:ilvl="0" w:tplc="B4243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4B5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F24D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F846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FE5E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08AA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941F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0AB3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72CAB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78B2CE9"/>
    <w:multiLevelType w:val="multilevel"/>
    <w:tmpl w:val="5420D3CA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"/>
      <w:lvlJc w:val="left"/>
      <w:pPr>
        <w:tabs>
          <w:tab w:val="num" w:pos="2471"/>
        </w:tabs>
        <w:ind w:left="247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2C880D3A"/>
    <w:multiLevelType w:val="hybridMultilevel"/>
    <w:tmpl w:val="C296947A"/>
    <w:lvl w:ilvl="0" w:tplc="2AD21AA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2B8C1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CD5611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EC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A682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8088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0633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085D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527A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7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E416119"/>
    <w:multiLevelType w:val="hybridMultilevel"/>
    <w:tmpl w:val="91E2FBA2"/>
    <w:lvl w:ilvl="0" w:tplc="A47CDB60">
      <w:start w:val="1"/>
      <w:numFmt w:val="russianLower"/>
      <w:lvlText w:val="%1)."/>
      <w:lvlJc w:val="left"/>
      <w:pPr>
        <w:ind w:left="1468" w:hanging="360"/>
      </w:pPr>
      <w:rPr>
        <w:rFonts w:hint="default"/>
      </w:rPr>
    </w:lvl>
    <w:lvl w:ilvl="1" w:tplc="588EBBF8">
      <w:start w:val="1"/>
      <w:numFmt w:val="russianLow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F6B5B"/>
    <w:multiLevelType w:val="hybridMultilevel"/>
    <w:tmpl w:val="B5422B16"/>
    <w:lvl w:ilvl="0" w:tplc="69660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D1AB5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7211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C627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E94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689D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F245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D094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362E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0C01C8"/>
    <w:multiLevelType w:val="hybridMultilevel"/>
    <w:tmpl w:val="2C94A95E"/>
    <w:lvl w:ilvl="0" w:tplc="F3C2F014">
      <w:start w:val="1"/>
      <w:numFmt w:val="russianLower"/>
      <w:lvlText w:val="%1)."/>
      <w:lvlJc w:val="left"/>
      <w:pPr>
        <w:ind w:left="1440" w:hanging="360"/>
      </w:pPr>
      <w:rPr>
        <w:rFonts w:hint="default"/>
      </w:rPr>
    </w:lvl>
    <w:lvl w:ilvl="1" w:tplc="1B640E6E">
      <w:start w:val="1"/>
      <w:numFmt w:val="russianLower"/>
      <w:lvlText w:val="%2)."/>
      <w:lvlJc w:val="left"/>
      <w:pPr>
        <w:ind w:left="1440" w:hanging="360"/>
      </w:pPr>
      <w:rPr>
        <w:rFonts w:hint="default"/>
      </w:rPr>
    </w:lvl>
    <w:lvl w:ilvl="2" w:tplc="1BA4A688">
      <w:start w:val="1"/>
      <w:numFmt w:val="decimal"/>
      <w:lvlText w:val="%3."/>
      <w:lvlJc w:val="left"/>
      <w:pPr>
        <w:ind w:left="2204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7"/>
  </w:num>
  <w:num w:numId="4">
    <w:abstractNumId w:val="16"/>
  </w:num>
  <w:num w:numId="5">
    <w:abstractNumId w:val="12"/>
  </w:num>
  <w:num w:numId="6">
    <w:abstractNumId w:val="6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5"/>
  </w:num>
  <w:num w:numId="13">
    <w:abstractNumId w:val="14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19"/>
  </w:num>
  <w:num w:numId="20">
    <w:abstractNumId w:val="8"/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11"/>
  </w:num>
  <w:num w:numId="27">
    <w:abstractNumId w:val="8"/>
  </w:num>
  <w:num w:numId="28">
    <w:abstractNumId w:val="8"/>
  </w:num>
  <w:num w:numId="29">
    <w:abstractNumId w:val="8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8"/>
  </w:num>
  <w:num w:numId="36">
    <w:abstractNumId w:val="20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18"/>
  </w:num>
  <w:num w:numId="43">
    <w:abstractNumId w:val="8"/>
  </w:num>
  <w:num w:numId="44">
    <w:abstractNumId w:val="8"/>
  </w:num>
  <w:num w:numId="4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993"/>
        <w:tab w:val="num" w:pos="2471"/>
      </w:tabs>
      <w:ind w:left="247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paragraph" w:customStyle="1" w:styleId="-30">
    <w:name w:val="Пункт-3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ind w:firstLine="709"/>
      <w:jc w:val="both"/>
    </w:pPr>
    <w:rPr>
      <w:sz w:val="28"/>
    </w:rPr>
  </w:style>
  <w:style w:type="paragraph" w:styleId="afd">
    <w:name w:val="header"/>
    <w:basedOn w:val="a1"/>
    <w:link w:val="afe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3"/>
    <w:link w:val="afd"/>
    <w:rPr>
      <w:sz w:val="24"/>
      <w:szCs w:val="24"/>
    </w:rPr>
  </w:style>
  <w:style w:type="paragraph" w:styleId="aff">
    <w:name w:val="foot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3"/>
    <w:link w:val="aff"/>
    <w:uiPriority w:val="99"/>
    <w:rPr>
      <w:sz w:val="24"/>
      <w:szCs w:val="24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paragraph" w:styleId="aff1">
    <w:name w:val="endnote text"/>
    <w:basedOn w:val="a1"/>
    <w:link w:val="aff2"/>
    <w:rPr>
      <w:sz w:val="20"/>
      <w:szCs w:val="20"/>
    </w:rPr>
  </w:style>
  <w:style w:type="character" w:customStyle="1" w:styleId="aff2">
    <w:name w:val="Текст концевой сноски Знак"/>
    <w:basedOn w:val="a3"/>
    <w:link w:val="aff1"/>
  </w:style>
  <w:style w:type="character" w:styleId="aff3">
    <w:name w:val="endnote reference"/>
    <w:basedOn w:val="a3"/>
    <w:rPr>
      <w:vertAlign w:val="superscript"/>
    </w:rPr>
  </w:style>
  <w:style w:type="paragraph" w:styleId="aff4">
    <w:name w:val="footnote text"/>
    <w:basedOn w:val="a1"/>
    <w:link w:val="aff5"/>
    <w:rPr>
      <w:sz w:val="20"/>
      <w:szCs w:val="20"/>
    </w:rPr>
  </w:style>
  <w:style w:type="character" w:customStyle="1" w:styleId="aff5">
    <w:name w:val="Текст сноски Знак"/>
    <w:basedOn w:val="a3"/>
    <w:link w:val="aff4"/>
  </w:style>
  <w:style w:type="character" w:styleId="aff6">
    <w:name w:val="footnote reference"/>
    <w:basedOn w:val="a3"/>
    <w:rPr>
      <w:vertAlign w:val="superscript"/>
    </w:rPr>
  </w:style>
  <w:style w:type="paragraph" w:styleId="aff7">
    <w:name w:val="Balloon Text"/>
    <w:basedOn w:val="a1"/>
    <w:link w:val="aff8"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basedOn w:val="a3"/>
    <w:link w:val="aff7"/>
    <w:rPr>
      <w:rFonts w:ascii="Tahoma" w:hAnsi="Tahoma" w:cs="Tahoma"/>
      <w:sz w:val="16"/>
      <w:szCs w:val="16"/>
    </w:rPr>
  </w:style>
  <w:style w:type="table" w:styleId="aff9">
    <w:name w:val="Table Grid"/>
    <w:basedOn w:val="a4"/>
    <w:uiPriority w:val="59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4"/>
    <w:next w:val="aff9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a">
    <w:name w:val="List Paragraph"/>
    <w:basedOn w:val="a1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993"/>
        <w:tab w:val="num" w:pos="2471"/>
      </w:tabs>
      <w:ind w:left="247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paragraph" w:customStyle="1" w:styleId="-30">
    <w:name w:val="Пункт-3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ind w:firstLine="709"/>
      <w:jc w:val="both"/>
    </w:pPr>
    <w:rPr>
      <w:sz w:val="28"/>
    </w:rPr>
  </w:style>
  <w:style w:type="paragraph" w:styleId="afd">
    <w:name w:val="header"/>
    <w:basedOn w:val="a1"/>
    <w:link w:val="afe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3"/>
    <w:link w:val="afd"/>
    <w:rPr>
      <w:sz w:val="24"/>
      <w:szCs w:val="24"/>
    </w:rPr>
  </w:style>
  <w:style w:type="paragraph" w:styleId="aff">
    <w:name w:val="footer"/>
    <w:basedOn w:val="a1"/>
    <w:link w:val="aff0"/>
    <w:uiPriority w:val="99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3"/>
    <w:link w:val="aff"/>
    <w:uiPriority w:val="99"/>
    <w:rPr>
      <w:sz w:val="24"/>
      <w:szCs w:val="24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paragraph" w:styleId="aff1">
    <w:name w:val="endnote text"/>
    <w:basedOn w:val="a1"/>
    <w:link w:val="aff2"/>
    <w:rPr>
      <w:sz w:val="20"/>
      <w:szCs w:val="20"/>
    </w:rPr>
  </w:style>
  <w:style w:type="character" w:customStyle="1" w:styleId="aff2">
    <w:name w:val="Текст концевой сноски Знак"/>
    <w:basedOn w:val="a3"/>
    <w:link w:val="aff1"/>
  </w:style>
  <w:style w:type="character" w:styleId="aff3">
    <w:name w:val="endnote reference"/>
    <w:basedOn w:val="a3"/>
    <w:rPr>
      <w:vertAlign w:val="superscript"/>
    </w:rPr>
  </w:style>
  <w:style w:type="paragraph" w:styleId="aff4">
    <w:name w:val="footnote text"/>
    <w:basedOn w:val="a1"/>
    <w:link w:val="aff5"/>
    <w:rPr>
      <w:sz w:val="20"/>
      <w:szCs w:val="20"/>
    </w:rPr>
  </w:style>
  <w:style w:type="character" w:customStyle="1" w:styleId="aff5">
    <w:name w:val="Текст сноски Знак"/>
    <w:basedOn w:val="a3"/>
    <w:link w:val="aff4"/>
  </w:style>
  <w:style w:type="character" w:styleId="aff6">
    <w:name w:val="footnote reference"/>
    <w:basedOn w:val="a3"/>
    <w:rPr>
      <w:vertAlign w:val="superscript"/>
    </w:rPr>
  </w:style>
  <w:style w:type="paragraph" w:styleId="aff7">
    <w:name w:val="Balloon Text"/>
    <w:basedOn w:val="a1"/>
    <w:link w:val="aff8"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basedOn w:val="a3"/>
    <w:link w:val="aff7"/>
    <w:rPr>
      <w:rFonts w:ascii="Tahoma" w:hAnsi="Tahoma" w:cs="Tahoma"/>
      <w:sz w:val="16"/>
      <w:szCs w:val="16"/>
    </w:rPr>
  </w:style>
  <w:style w:type="table" w:styleId="aff9">
    <w:name w:val="Table Grid"/>
    <w:basedOn w:val="a4"/>
    <w:uiPriority w:val="59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4"/>
    <w:next w:val="aff9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a">
    <w:name w:val="List Paragraph"/>
    <w:basedOn w:val="a1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4EC42E-6594-440A-8C0D-B8D1C9FDC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4092</Words>
  <Characters>23326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Лукьянова Ольга Викторовна</cp:lastModifiedBy>
  <cp:revision>2</cp:revision>
  <cp:lastPrinted>2013-03-15T09:51:00Z</cp:lastPrinted>
  <dcterms:created xsi:type="dcterms:W3CDTF">2013-12-12T13:24:00Z</dcterms:created>
  <dcterms:modified xsi:type="dcterms:W3CDTF">2013-12-12T13:24:00Z</dcterms:modified>
</cp:coreProperties>
</file>