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Реквизит, определяющий категорию </w:t>
      </w:r>
      <w:r w:rsidR="00152275">
        <w:rPr>
          <w:i/>
          <w:color w:val="000000"/>
          <w:sz w:val="24"/>
          <w:szCs w:val="24"/>
        </w:rPr>
        <w:t>д</w:t>
      </w:r>
      <w:r w:rsidRPr="001F6931">
        <w:rPr>
          <w:i/>
          <w:color w:val="000000"/>
          <w:sz w:val="24"/>
          <w:szCs w:val="24"/>
        </w:rPr>
        <w:t>оступа к информации (гриф секретности)</w:t>
      </w:r>
    </w:p>
    <w:p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4F4AA6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Default="004F4AA6" w:rsidP="004F4AA6">
      <w:pPr>
        <w:jc w:val="center"/>
        <w:rPr>
          <w:color w:val="000000"/>
        </w:rPr>
      </w:pPr>
      <w:r>
        <w:rPr>
          <w:color w:val="000000"/>
        </w:rPr>
        <w:t>П</w:t>
      </w:r>
      <w:r w:rsidRPr="004F4AA6">
        <w:rPr>
          <w:color w:val="000000"/>
        </w:rPr>
        <w:t>оставка програм</w:t>
      </w:r>
      <w:r>
        <w:rPr>
          <w:color w:val="000000"/>
        </w:rPr>
        <w:t>много обеспечения.</w:t>
      </w:r>
    </w:p>
    <w:p w:rsidR="004F4AA6" w:rsidRDefault="004F4AA6" w:rsidP="004F4AA6">
      <w:pPr>
        <w:jc w:val="center"/>
        <w:rPr>
          <w:color w:val="000000"/>
        </w:rPr>
      </w:pPr>
    </w:p>
    <w:p w:rsidR="004F4AA6" w:rsidRPr="001F6931" w:rsidRDefault="004F4AA6" w:rsidP="004F4AA6">
      <w:pPr>
        <w:jc w:val="center"/>
        <w:rPr>
          <w:color w:val="000000"/>
        </w:rPr>
      </w:pPr>
      <w:r>
        <w:rPr>
          <w:color w:val="000000"/>
        </w:rPr>
        <w:t xml:space="preserve">ГПЗ </w:t>
      </w:r>
      <w:r w:rsidRPr="004F4AA6">
        <w:rPr>
          <w:color w:val="000000"/>
        </w:rPr>
        <w:t>5269/28</w:t>
      </w:r>
      <w:r>
        <w:rPr>
          <w:color w:val="000000"/>
        </w:rPr>
        <w:t>.</w:t>
      </w: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506462" w:rsidRDefault="00506462" w:rsidP="0050646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Все ссылки на товарные знаки, марки производителей, технические </w:t>
      </w:r>
      <w:proofErr w:type="gramStart"/>
      <w:r>
        <w:rPr>
          <w:i/>
          <w:sz w:val="24"/>
          <w:szCs w:val="24"/>
        </w:rPr>
        <w:t>условия</w:t>
      </w:r>
      <w:proofErr w:type="gramEnd"/>
      <w:r>
        <w:rPr>
          <w:i/>
          <w:sz w:val="24"/>
          <w:szCs w:val="24"/>
        </w:rPr>
        <w:t xml:space="preserve"> встречающиеся в техническом задании сопровождаются словами «или эквивалент».</w:t>
      </w: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063CBF" w:rsidRPr="00F47416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4F4AA6">
        <w:rPr>
          <w:color w:val="000000"/>
        </w:rPr>
        <w:t>14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</w:t>
      </w: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на поставку сырья, материалов и комплектующих изделий</w:t>
      </w: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для объекта</w:t>
      </w:r>
      <w:r w:rsidR="00152275">
        <w:rPr>
          <w:color w:val="000000"/>
        </w:rPr>
        <w:t xml:space="preserve"> </w:t>
      </w:r>
      <w:r w:rsidRPr="00F47416">
        <w:rPr>
          <w:i/>
          <w:color w:val="000000"/>
        </w:rPr>
        <w:t xml:space="preserve">(указывается наименование объекта или серии объектов ОИАЭ </w:t>
      </w:r>
      <w:r w:rsidRPr="00F47416">
        <w:rPr>
          <w:color w:val="000000"/>
        </w:rPr>
        <w:t>и т.д.)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063CBF" w:rsidRPr="00F47416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063CBF" w:rsidRPr="00F47416" w:rsidRDefault="00063CBF" w:rsidP="00063CBF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4F4AA6" w:rsidP="0015227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DB28DC" w:rsidRPr="00DB28DC">
              <w:rPr>
                <w:i/>
                <w:color w:val="000000"/>
                <w:sz w:val="24"/>
                <w:szCs w:val="24"/>
              </w:rPr>
              <w:t>оставка програм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="00DB28DC" w:rsidRPr="00DB28DC">
              <w:rPr>
                <w:i/>
                <w:color w:val="000000"/>
                <w:sz w:val="24"/>
                <w:szCs w:val="24"/>
              </w:rPr>
              <w:t>ного обеспечения Micromine</w:t>
            </w:r>
            <w:r>
              <w:rPr>
                <w:i/>
                <w:color w:val="000000"/>
                <w:sz w:val="24"/>
                <w:szCs w:val="24"/>
              </w:rPr>
              <w:t xml:space="preserve">.(или </w:t>
            </w:r>
            <w:r w:rsidR="00152275">
              <w:rPr>
                <w:i/>
                <w:color w:val="000000"/>
                <w:sz w:val="24"/>
                <w:szCs w:val="24"/>
              </w:rPr>
              <w:t>эквивалент)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B28DC" w:rsidRPr="00DB28DC">
              <w:rPr>
                <w:i/>
                <w:color w:val="000000"/>
                <w:sz w:val="24"/>
                <w:szCs w:val="24"/>
              </w:rPr>
              <w:t>Сетевые лицензии для импорта, заверки, обработки, визуализации и интерпретации геологоразведочных, построение и р</w:t>
            </w:r>
            <w:r w:rsidR="00EE6194">
              <w:rPr>
                <w:i/>
                <w:color w:val="000000"/>
                <w:sz w:val="24"/>
                <w:szCs w:val="24"/>
              </w:rPr>
              <w:t xml:space="preserve">едактирование каркасных моделей в количестве </w:t>
            </w:r>
            <w:r w:rsidR="00EE6194" w:rsidRPr="00EE6194">
              <w:rPr>
                <w:b/>
                <w:i/>
                <w:color w:val="000000"/>
                <w:sz w:val="24"/>
                <w:szCs w:val="24"/>
                <w:u w:val="single"/>
              </w:rPr>
              <w:t>3 шт.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FF0C99" w:rsidRDefault="004F4AA6" w:rsidP="004F4AA6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>оставляемый товар должен быть новым товаром (товаром, который не был в употреблении, в ремонте, в том числе</w:t>
            </w:r>
            <w:r w:rsidR="00152275">
              <w:rPr>
                <w:i/>
                <w:color w:val="000000"/>
                <w:sz w:val="24"/>
                <w:szCs w:val="24"/>
              </w:rPr>
              <w:t>,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</w:t>
            </w:r>
            <w:r>
              <w:rPr>
                <w:i/>
                <w:color w:val="000000"/>
                <w:sz w:val="24"/>
                <w:szCs w:val="24"/>
              </w:rPr>
              <w:t>влены потребительские свойства).</w:t>
            </w:r>
            <w:proofErr w:type="gramEnd"/>
          </w:p>
        </w:tc>
      </w:tr>
      <w:bookmarkEnd w:id="2"/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4F4AA6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4F4AA6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684950" w:rsidP="00DB6AF3">
            <w:pPr>
              <w:rPr>
                <w:i/>
                <w:color w:val="000000"/>
                <w:sz w:val="24"/>
                <w:szCs w:val="24"/>
              </w:rPr>
            </w:pPr>
            <w:r>
              <w:t>1617001</w:t>
            </w:r>
          </w:p>
        </w:tc>
      </w:tr>
    </w:tbl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684950" w:rsidP="00DB6AF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ПК организации.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063CBF" w:rsidRPr="001F6931" w:rsidRDefault="00063CBF" w:rsidP="00063CBF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Default="00684950" w:rsidP="00DB6AF3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r w:rsidR="004855C0">
              <w:rPr>
                <w:i/>
                <w:color w:val="000000"/>
                <w:sz w:val="24"/>
                <w:szCs w:val="24"/>
              </w:rPr>
              <w:t>огласно условий</w:t>
            </w:r>
            <w:proofErr w:type="gramEnd"/>
            <w:r w:rsidR="004855C0">
              <w:rPr>
                <w:i/>
                <w:color w:val="000000"/>
                <w:sz w:val="24"/>
                <w:szCs w:val="24"/>
              </w:rPr>
              <w:t xml:space="preserve"> эксплуатации ПК</w:t>
            </w:r>
          </w:p>
          <w:p w:rsidR="004855C0" w:rsidRPr="004855C0" w:rsidRDefault="004855C0" w:rsidP="004855C0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4855C0">
              <w:rPr>
                <w:i/>
                <w:color w:val="000000"/>
                <w:sz w:val="24"/>
                <w:szCs w:val="24"/>
              </w:rPr>
              <w:t></w:t>
            </w:r>
            <w:r w:rsidRPr="004855C0">
              <w:rPr>
                <w:i/>
                <w:color w:val="000000"/>
                <w:sz w:val="24"/>
                <w:szCs w:val="24"/>
              </w:rPr>
              <w:tab/>
              <w:t xml:space="preserve">инсталляция </w:t>
            </w:r>
            <w:proofErr w:type="gramStart"/>
            <w:r w:rsidRPr="004855C0">
              <w:rPr>
                <w:i/>
                <w:color w:val="000000"/>
                <w:sz w:val="24"/>
                <w:szCs w:val="24"/>
              </w:rPr>
              <w:t>ПО</w:t>
            </w:r>
            <w:proofErr w:type="gramEnd"/>
            <w:r w:rsidRPr="004855C0">
              <w:rPr>
                <w:i/>
                <w:color w:val="000000"/>
                <w:sz w:val="24"/>
                <w:szCs w:val="24"/>
              </w:rPr>
              <w:t xml:space="preserve"> (установка на компьютер);</w:t>
            </w:r>
          </w:p>
          <w:p w:rsidR="004855C0" w:rsidRPr="00B64B84" w:rsidRDefault="004855C0" w:rsidP="004855C0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4855C0">
              <w:rPr>
                <w:i/>
                <w:color w:val="000000"/>
                <w:sz w:val="24"/>
                <w:szCs w:val="24"/>
              </w:rPr>
              <w:t></w:t>
            </w:r>
            <w:r w:rsidRPr="004855C0">
              <w:rPr>
                <w:i/>
                <w:color w:val="000000"/>
                <w:sz w:val="24"/>
                <w:szCs w:val="24"/>
              </w:rPr>
              <w:tab/>
              <w:t>запуск ПО (решение производственных задач).</w:t>
            </w:r>
          </w:p>
        </w:tc>
      </w:tr>
    </w:tbl>
    <w:p w:rsidR="00063CBF" w:rsidRPr="0054650F" w:rsidRDefault="00063CBF" w:rsidP="00063CBF">
      <w:pPr>
        <w:jc w:val="center"/>
        <w:rPr>
          <w:color w:val="000000"/>
        </w:rPr>
      </w:pPr>
    </w:p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063CBF" w:rsidRPr="001F6931" w:rsidRDefault="00063CBF" w:rsidP="00063CBF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352" w:type="dxa"/>
              <w:tblInd w:w="3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30" w:type="dxa"/>
                <w:right w:w="30" w:type="dxa"/>
              </w:tblCellMar>
              <w:tblLook w:val="00A0"/>
            </w:tblPr>
            <w:tblGrid>
              <w:gridCol w:w="1800"/>
              <w:gridCol w:w="7552"/>
            </w:tblGrid>
            <w:tr w:rsidR="00684950" w:rsidRPr="00E9482B" w:rsidTr="00684950">
              <w:trPr>
                <w:cantSplit/>
                <w:trHeight w:val="284"/>
              </w:trPr>
              <w:tc>
                <w:tcPr>
                  <w:tcW w:w="1800" w:type="dxa"/>
                  <w:tcBorders>
                    <w:bottom w:val="single" w:sz="6" w:space="0" w:color="000000"/>
                  </w:tcBorders>
                  <w:vAlign w:val="center"/>
                </w:tcPr>
                <w:p w:rsidR="00684950" w:rsidRPr="00E9482B" w:rsidRDefault="00684950" w:rsidP="00F22E30">
                  <w:pPr>
                    <w:jc w:val="center"/>
                    <w:rPr>
                      <w:rFonts w:ascii="Arial" w:hAnsi="Arial" w:cs="Arial"/>
                      <w:b/>
                      <w:bCs/>
                      <w:snapToGrid w:val="0"/>
                      <w:sz w:val="22"/>
                      <w:szCs w:val="22"/>
                    </w:rPr>
                  </w:pPr>
                  <w:r w:rsidRPr="00E9482B">
                    <w:rPr>
                      <w:rFonts w:ascii="Arial" w:hAnsi="Arial" w:cs="Arial"/>
                      <w:b/>
                      <w:bCs/>
                      <w:snapToGrid w:val="0"/>
                      <w:sz w:val="22"/>
                      <w:szCs w:val="22"/>
                    </w:rPr>
                    <w:t>Модуль</w:t>
                  </w:r>
                </w:p>
              </w:tc>
              <w:tc>
                <w:tcPr>
                  <w:tcW w:w="7552" w:type="dxa"/>
                  <w:vAlign w:val="center"/>
                </w:tcPr>
                <w:p w:rsidR="00684950" w:rsidRPr="00E9482B" w:rsidRDefault="00684950" w:rsidP="00F22E30">
                  <w:pPr>
                    <w:pStyle w:val="2"/>
                    <w:numPr>
                      <w:ilvl w:val="0"/>
                      <w:numId w:val="0"/>
                    </w:numPr>
                    <w:ind w:left="360"/>
                    <w:jc w:val="center"/>
                    <w:rPr>
                      <w:rFonts w:cs="Arial"/>
                      <w:b/>
                      <w:sz w:val="22"/>
                      <w:szCs w:val="22"/>
                      <w:lang w:val="ru-RU"/>
                    </w:rPr>
                  </w:pPr>
                  <w:r w:rsidRPr="00E9482B">
                    <w:rPr>
                      <w:rFonts w:cs="Arial"/>
                      <w:b/>
                      <w:sz w:val="22"/>
                      <w:szCs w:val="22"/>
                      <w:lang w:val="ru-RU"/>
                    </w:rPr>
                    <w:t>Описание функциональности модуля</w:t>
                  </w:r>
                </w:p>
              </w:tc>
            </w:tr>
            <w:tr w:rsidR="00684950" w:rsidRPr="00E9482B" w:rsidTr="00684950">
              <w:trPr>
                <w:trHeight w:val="2953"/>
              </w:trPr>
              <w:tc>
                <w:tcPr>
                  <w:tcW w:w="1800" w:type="dxa"/>
                  <w:vAlign w:val="center"/>
                </w:tcPr>
                <w:p w:rsidR="00684950" w:rsidRPr="00E9482B" w:rsidRDefault="00684950" w:rsidP="00F22E30">
                  <w:pPr>
                    <w:jc w:val="center"/>
                    <w:rPr>
                      <w:rFonts w:ascii="Arial" w:hAnsi="Arial" w:cs="Arial"/>
                      <w:b/>
                      <w:snapToGrid w:val="0"/>
                      <w:sz w:val="18"/>
                      <w:szCs w:val="18"/>
                    </w:rPr>
                  </w:pPr>
                  <w:r w:rsidRPr="00E9482B">
                    <w:rPr>
                      <w:rFonts w:ascii="Arial" w:hAnsi="Arial" w:cs="Arial"/>
                      <w:b/>
                      <w:snapToGrid w:val="0"/>
                      <w:sz w:val="18"/>
                      <w:szCs w:val="18"/>
                    </w:rPr>
                    <w:lastRenderedPageBreak/>
                    <w:t>Ядро</w:t>
                  </w:r>
                </w:p>
              </w:tc>
              <w:tc>
                <w:tcPr>
                  <w:tcW w:w="7552" w:type="dxa"/>
                  <w:vAlign w:val="center"/>
                </w:tcPr>
                <w:p w:rsidR="00684950" w:rsidRPr="00E9482B" w:rsidRDefault="00684950" w:rsidP="00F22E30">
                  <w:pPr>
                    <w:ind w:left="150" w:right="150"/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</w:pPr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 xml:space="preserve">Модуль для импорта, заверки, обработки, визуализации и интерпретации геологоразведочных и других данных. В состав модуля входит 3D графическая среда. </w:t>
                  </w:r>
                  <w:proofErr w:type="gramStart"/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Модуль позволяет: импортировать данные, созданные в ГИС приложениях; осуществлять одновременную привязку и трансформацию растровых изображений к используемой системе координат; оцифровывать точки и линии по разрезам и поверхностям горизонтов; привязывать линии к любым объектам (скважинам, канавам, опробованию и пр.), сглаживать линии, изменять количество точек и их координаты; осуществлять перекрёстную проверку базы геологоразведочных данных;</w:t>
                  </w:r>
                  <w:proofErr w:type="gramEnd"/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 xml:space="preserve"> рассчитывать траектории скважин координаты интервалов опробования; проводить статистические исследования, строить графики вероятности, накопленной частоты и гистограммы распределения; преобразовывать координатные сетки; выводить графику на печать или экспортировать в форматы *.</w:t>
                  </w:r>
                  <w:proofErr w:type="spellStart"/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dxf</w:t>
                  </w:r>
                  <w:proofErr w:type="spellEnd"/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, *.</w:t>
                  </w:r>
                  <w:proofErr w:type="spellStart"/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tmf</w:t>
                  </w:r>
                  <w:proofErr w:type="spellEnd"/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, *.</w:t>
                  </w:r>
                  <w:proofErr w:type="spellStart"/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pgl</w:t>
                  </w:r>
                  <w:proofErr w:type="spellEnd"/>
                  <w:r w:rsidRPr="00E9482B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.</w:t>
                  </w:r>
                </w:p>
              </w:tc>
            </w:tr>
            <w:tr w:rsidR="00684950" w:rsidRPr="00E9482B" w:rsidTr="00684950">
              <w:trPr>
                <w:trHeight w:val="1678"/>
              </w:trPr>
              <w:tc>
                <w:tcPr>
                  <w:tcW w:w="1800" w:type="dxa"/>
                  <w:vAlign w:val="center"/>
                </w:tcPr>
                <w:p w:rsidR="00684950" w:rsidRPr="00867A0E" w:rsidRDefault="00684950" w:rsidP="00F22E30">
                  <w:pPr>
                    <w:jc w:val="center"/>
                    <w:rPr>
                      <w:rFonts w:ascii="Arial" w:hAnsi="Arial" w:cs="Arial"/>
                      <w:b/>
                      <w:snapToGrid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napToGrid w:val="0"/>
                      <w:sz w:val="18"/>
                      <w:szCs w:val="18"/>
                    </w:rPr>
                    <w:t>Разведка</w:t>
                  </w:r>
                </w:p>
              </w:tc>
              <w:tc>
                <w:tcPr>
                  <w:tcW w:w="7552" w:type="dxa"/>
                  <w:vAlign w:val="center"/>
                </w:tcPr>
                <w:p w:rsidR="00684950" w:rsidRPr="00F21B0E" w:rsidRDefault="00684950" w:rsidP="00F22E30">
                  <w:pPr>
                    <w:ind w:left="150" w:right="150"/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</w:pPr>
                  <w:proofErr w:type="gramStart"/>
                  <w:r w:rsidRPr="00867A0E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Расширенные возможности по обработке геологоразведочных данных: обработка буровых данных с функциями построения различных колонок, разрезов и планов; расчёты по скважинам (выработки по данным опробования, средневзвешенного по любому заданному интервалу, истинной мощности пластов, координат подошвы и кровли пласта); расчёт композитов (объединённых интервалов) по заданным кондициям, уступам и геологическим кодам; конвертация сеток (</w:t>
                  </w:r>
                  <w:proofErr w:type="spellStart"/>
                  <w:r w:rsidRPr="00867A0E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гридов</w:t>
                  </w:r>
                  <w:proofErr w:type="spellEnd"/>
                  <w:r w:rsidRPr="00867A0E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) в цифровые поверхности.</w:t>
                  </w:r>
                  <w:proofErr w:type="gramEnd"/>
                </w:p>
              </w:tc>
            </w:tr>
            <w:tr w:rsidR="00684950" w:rsidRPr="00E9482B" w:rsidTr="00684950">
              <w:trPr>
                <w:trHeight w:val="1262"/>
              </w:trPr>
              <w:tc>
                <w:tcPr>
                  <w:tcW w:w="1800" w:type="dxa"/>
                  <w:vAlign w:val="center"/>
                </w:tcPr>
                <w:p w:rsidR="00684950" w:rsidRPr="007B70B1" w:rsidRDefault="00684950" w:rsidP="00F22E30">
                  <w:pPr>
                    <w:jc w:val="center"/>
                    <w:rPr>
                      <w:rFonts w:ascii="Arial" w:hAnsi="Arial" w:cs="Arial"/>
                      <w:b/>
                      <w:snapToGrid w:val="0"/>
                      <w:sz w:val="18"/>
                      <w:szCs w:val="18"/>
                    </w:rPr>
                  </w:pPr>
                  <w:r w:rsidRPr="007B70B1">
                    <w:rPr>
                      <w:rFonts w:ascii="Arial" w:hAnsi="Arial" w:cs="Arial"/>
                      <w:b/>
                      <w:snapToGrid w:val="0"/>
                      <w:sz w:val="18"/>
                      <w:szCs w:val="18"/>
                    </w:rPr>
                    <w:t>Каркасное моделирование</w:t>
                  </w:r>
                </w:p>
              </w:tc>
              <w:tc>
                <w:tcPr>
                  <w:tcW w:w="7552" w:type="dxa"/>
                </w:tcPr>
                <w:p w:rsidR="00684950" w:rsidRPr="00F21B0E" w:rsidRDefault="00684950" w:rsidP="00F22E30">
                  <w:pPr>
                    <w:ind w:left="150" w:right="150"/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</w:pPr>
                  <w:r w:rsidRPr="00867A0E">
                    <w:rPr>
                      <w:rFonts w:ascii="Arial" w:hAnsi="Arial" w:cs="Arial"/>
                      <w:snapToGrid w:val="0"/>
                      <w:sz w:val="18"/>
                      <w:szCs w:val="18"/>
                    </w:rPr>
                    <w:t>Модуль выполняет следующие функции: построение и редактирование каркасных моделей по интерпретационным контурам в 3D среде; выборка и кодирование данных опробования по каркасным моделям; полигональная оценка каркасов с получением отчётов по тоннажу, объёмам и содержаниям.</w:t>
                  </w:r>
                </w:p>
              </w:tc>
            </w:tr>
          </w:tbl>
          <w:p w:rsidR="00063CBF" w:rsidRPr="00B64B84" w:rsidRDefault="00063CBF" w:rsidP="00DB6AF3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4855C0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условиями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лицензионного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 сублицензионного договоров.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B64B84" w:rsidRDefault="00EE6194" w:rsidP="00EE6194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EE6194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EE6194" w:rsidP="00DB6AF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52637E" w:rsidP="0052637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    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Наименование ПО, </w:t>
            </w:r>
            <w:proofErr w:type="gramStart"/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>право</w:t>
            </w:r>
            <w:proofErr w:type="gramEnd"/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 на использование которого передается а также иные условия указыв</w:t>
            </w: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>аются в Акте передачи прав, под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>писы</w:t>
            </w: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>ваемых обе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>ими Сторонами, являющимися неот</w:t>
            </w: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>ъемлемой частью настоящего Дого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>вора с момента их подписания Сторонами.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B64B84" w:rsidRDefault="0052637E" w:rsidP="00DB6AF3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52637E">
              <w:rPr>
                <w:i/>
                <w:color w:val="000000"/>
                <w:sz w:val="24"/>
                <w:szCs w:val="24"/>
              </w:rPr>
              <w:t>Сублицензиат освобождается от об</w:t>
            </w:r>
            <w:r w:rsidR="0061154C">
              <w:rPr>
                <w:i/>
                <w:color w:val="000000"/>
                <w:sz w:val="24"/>
                <w:szCs w:val="24"/>
              </w:rPr>
              <w:t>язанности представлять Лицензиа</w:t>
            </w:r>
            <w:r w:rsidRPr="0052637E">
              <w:rPr>
                <w:i/>
                <w:color w:val="000000"/>
                <w:sz w:val="24"/>
                <w:szCs w:val="24"/>
              </w:rPr>
              <w:t>ту отчеты об использовании ПО (п. 1 ст. 1237 ГК РФ).</w:t>
            </w:r>
            <w:bookmarkStart w:id="3" w:name="_GoBack"/>
            <w:bookmarkEnd w:id="3"/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61154C" w:rsidP="0061154C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Доставка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осуществляется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ответственным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лицом поставщика без использования услуг третьих лиц.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7. ТРЕБОВАНИЯ К ХРАНЕНИЮ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61154C" w:rsidP="00DB6AF3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61154C">
              <w:rPr>
                <w:i/>
                <w:color w:val="000000"/>
                <w:sz w:val="24"/>
                <w:szCs w:val="24"/>
              </w:rPr>
              <w:t>Сублицензиат освобождается от обязанности представлять Лицензиату отчеты об использовании ПО (п. 1 ст. 1237 ГК РФ).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B64B84" w:rsidRDefault="0061154C" w:rsidP="00DB6AF3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условиями лицензионного 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сублицензионного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договоров.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61154C" w:rsidP="00DB6AF3">
            <w:pPr>
              <w:rPr>
                <w:i/>
                <w:color w:val="000000"/>
                <w:sz w:val="24"/>
                <w:szCs w:val="24"/>
              </w:rPr>
            </w:pPr>
            <w:r w:rsidRPr="0061154C">
              <w:rPr>
                <w:i/>
                <w:color w:val="000000"/>
                <w:sz w:val="24"/>
                <w:szCs w:val="24"/>
              </w:rPr>
              <w:t xml:space="preserve">Не осуществлять действий по обходу технических средств защиты, встроенных </w:t>
            </w:r>
            <w:proofErr w:type="gramStart"/>
            <w:r w:rsidRPr="0061154C">
              <w:rPr>
                <w:i/>
                <w:color w:val="000000"/>
                <w:sz w:val="24"/>
                <w:szCs w:val="24"/>
              </w:rPr>
              <w:t>в</w:t>
            </w:r>
            <w:proofErr w:type="gramEnd"/>
            <w:r w:rsidRPr="0061154C">
              <w:rPr>
                <w:i/>
                <w:color w:val="000000"/>
                <w:sz w:val="24"/>
                <w:szCs w:val="24"/>
              </w:rPr>
              <w:t xml:space="preserve"> ПО.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61154C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AF1C9E">
              <w:rPr>
                <w:i/>
                <w:color w:val="000000"/>
                <w:sz w:val="24"/>
                <w:szCs w:val="24"/>
              </w:rPr>
              <w:t>законодательства</w:t>
            </w:r>
            <w:proofErr w:type="gramEnd"/>
            <w:r w:rsidR="00AF1C9E">
              <w:rPr>
                <w:i/>
                <w:color w:val="000000"/>
                <w:sz w:val="24"/>
                <w:szCs w:val="24"/>
              </w:rPr>
              <w:t xml:space="preserve"> РФ.</w:t>
            </w:r>
          </w:p>
        </w:tc>
      </w:tr>
    </w:tbl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B64B84" w:rsidRDefault="00AF1C9E" w:rsidP="00DB6AF3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законодательства РФ.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Default="00063CBF" w:rsidP="00DB6AF3">
            <w:pPr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Указываются перечень документов, требованиям которых должны соответствовать </w:t>
            </w:r>
            <w:r w:rsidRPr="00FD3C68">
              <w:rPr>
                <w:i/>
                <w:color w:val="000000"/>
                <w:sz w:val="24"/>
                <w:szCs w:val="24"/>
              </w:rPr>
              <w:t>закупаемые сырье, материалы и комплектующие</w:t>
            </w:r>
            <w:r w:rsidRPr="001F6931">
              <w:rPr>
                <w:i/>
                <w:color w:val="000000"/>
                <w:sz w:val="26"/>
                <w:szCs w:val="26"/>
              </w:rPr>
              <w:t>.</w:t>
            </w:r>
          </w:p>
          <w:p w:rsidR="00063CBF" w:rsidRDefault="00063CBF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5656E">
              <w:rPr>
                <w:bCs/>
                <w:i/>
                <w:sz w:val="24"/>
                <w:szCs w:val="24"/>
              </w:rPr>
              <w:t>При оформлении технического задания</w:t>
            </w:r>
            <w:r>
              <w:rPr>
                <w:bCs/>
                <w:i/>
                <w:sz w:val="24"/>
                <w:szCs w:val="24"/>
              </w:rPr>
              <w:t xml:space="preserve"> предусматривающего закупку продукции важной для безопасности согласно ОПБ 88/97 формируются </w:t>
            </w:r>
            <w:r>
              <w:rPr>
                <w:i/>
                <w:color w:val="000000"/>
                <w:sz w:val="24"/>
                <w:szCs w:val="24"/>
              </w:rPr>
              <w:t>особенности обеспечения последующей оценки соответствия, согласно требованиям: Федерального закона от 01.07.2011 № 170 «Об использовании атомной энергии» и федеральными нормами и правилами в области использования атомной энергии (НП-071-06 от 01.07.2007)</w:t>
            </w:r>
          </w:p>
          <w:p w:rsidR="00063CBF" w:rsidRPr="001F6931" w:rsidRDefault="00063CBF" w:rsidP="00DB6AF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223709">
              <w:rPr>
                <w:bCs/>
                <w:i/>
                <w:sz w:val="24"/>
                <w:szCs w:val="24"/>
              </w:rPr>
              <w:t xml:space="preserve">При оформлении технического задания для заказа оборонной продукции устанавливаются особенности оценки соответствия производства, монтажа, наладки, эксплуатации, хранения, перевозки, реализации, утилизации и захоронения указанной продукции (далее - процессы) в соответствии с требованиями Положения об особенностях оценки оборонной продукции (работ, услуг) утвержденного </w:t>
            </w:r>
            <w:r>
              <w:rPr>
                <w:bCs/>
                <w:i/>
                <w:sz w:val="24"/>
                <w:szCs w:val="24"/>
              </w:rPr>
              <w:t>п</w:t>
            </w:r>
            <w:r w:rsidRPr="00223709">
              <w:rPr>
                <w:bCs/>
                <w:i/>
                <w:sz w:val="24"/>
                <w:szCs w:val="24"/>
              </w:rPr>
              <w:t>остановлением Правительства Российской Федерации от 11.10.2012 № 1036.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C9E" w:rsidRPr="00AF1C9E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 w:rsidRPr="00AF1C9E">
              <w:rPr>
                <w:i/>
                <w:color w:val="000000"/>
                <w:sz w:val="24"/>
                <w:szCs w:val="24"/>
              </w:rPr>
              <w:t>Лицензиат гарантирует, что использование ПО не нарушает авторские права или и</w:t>
            </w:r>
            <w:r>
              <w:rPr>
                <w:i/>
                <w:color w:val="000000"/>
                <w:sz w:val="24"/>
                <w:szCs w:val="24"/>
              </w:rPr>
              <w:t>ные права третьих лиц. Лицен</w:t>
            </w:r>
            <w:r w:rsidRPr="00AF1C9E">
              <w:rPr>
                <w:i/>
                <w:color w:val="000000"/>
                <w:sz w:val="24"/>
                <w:szCs w:val="24"/>
              </w:rPr>
              <w:t>зиат обязуется своевременно проинформировать Сублицензиа</w:t>
            </w:r>
            <w:r>
              <w:rPr>
                <w:i/>
                <w:color w:val="000000"/>
                <w:sz w:val="24"/>
                <w:szCs w:val="24"/>
              </w:rPr>
              <w:t>та в случае, если ему станет из</w:t>
            </w:r>
            <w:r w:rsidRPr="00AF1C9E">
              <w:rPr>
                <w:i/>
                <w:color w:val="000000"/>
                <w:sz w:val="24"/>
                <w:szCs w:val="24"/>
              </w:rPr>
              <w:t>вестно о подобных нарушениях.</w:t>
            </w:r>
          </w:p>
          <w:p w:rsidR="00AF1C9E" w:rsidRPr="00AF1C9E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 w:rsidRPr="00AF1C9E">
              <w:rPr>
                <w:i/>
                <w:color w:val="000000"/>
                <w:sz w:val="24"/>
                <w:szCs w:val="24"/>
              </w:rPr>
              <w:t>В случае предъявления Сублицензиату пре</w:t>
            </w:r>
            <w:r>
              <w:rPr>
                <w:i/>
                <w:color w:val="000000"/>
                <w:sz w:val="24"/>
                <w:szCs w:val="24"/>
              </w:rPr>
              <w:t>тензий третьими лицами в отноше</w:t>
            </w:r>
            <w:r w:rsidRPr="00AF1C9E">
              <w:rPr>
                <w:i/>
                <w:color w:val="000000"/>
                <w:sz w:val="24"/>
                <w:szCs w:val="24"/>
              </w:rPr>
              <w:t>нии нарушения принадлежащих им исключительных прав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, Лицензиат обязуется урегули</w:t>
            </w:r>
            <w:r w:rsidRPr="00AF1C9E">
              <w:rPr>
                <w:i/>
                <w:color w:val="000000"/>
                <w:sz w:val="24"/>
                <w:szCs w:val="24"/>
              </w:rPr>
              <w:t>ровать возникшие разногласия от своего имени</w:t>
            </w:r>
            <w:r>
              <w:rPr>
                <w:i/>
                <w:color w:val="000000"/>
                <w:sz w:val="24"/>
                <w:szCs w:val="24"/>
              </w:rPr>
              <w:t xml:space="preserve"> и за свой счет. Лицензиат отвечает пе</w:t>
            </w:r>
            <w:r w:rsidRPr="00AF1C9E">
              <w:rPr>
                <w:i/>
                <w:color w:val="000000"/>
                <w:sz w:val="24"/>
                <w:szCs w:val="24"/>
              </w:rPr>
              <w:t>ред третьими лицами за возможное нарушени</w:t>
            </w:r>
            <w:r>
              <w:rPr>
                <w:i/>
                <w:color w:val="000000"/>
                <w:sz w:val="24"/>
                <w:szCs w:val="24"/>
              </w:rPr>
              <w:t>е их прав при исполнении настоящего Догово</w:t>
            </w:r>
            <w:r w:rsidRPr="00AF1C9E">
              <w:rPr>
                <w:i/>
                <w:color w:val="000000"/>
                <w:sz w:val="24"/>
                <w:szCs w:val="24"/>
              </w:rPr>
              <w:t xml:space="preserve">ра, а также перед Сублицензиатом, если им были исполнены законные </w:t>
            </w:r>
            <w:r>
              <w:rPr>
                <w:i/>
                <w:color w:val="000000"/>
                <w:sz w:val="24"/>
                <w:szCs w:val="24"/>
              </w:rPr>
              <w:lastRenderedPageBreak/>
              <w:t>требования треть</w:t>
            </w:r>
            <w:r w:rsidRPr="00AF1C9E">
              <w:rPr>
                <w:i/>
                <w:color w:val="000000"/>
                <w:sz w:val="24"/>
                <w:szCs w:val="24"/>
              </w:rPr>
              <w:t>их лиц.</w:t>
            </w:r>
          </w:p>
          <w:p w:rsidR="00063CBF" w:rsidRPr="00B64B84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AF1C9E">
              <w:rPr>
                <w:i/>
                <w:color w:val="000000"/>
                <w:sz w:val="24"/>
                <w:szCs w:val="24"/>
              </w:rPr>
              <w:t>Если судом будет принято решение в пользу</w:t>
            </w:r>
            <w:r>
              <w:rPr>
                <w:i/>
                <w:color w:val="000000"/>
                <w:sz w:val="24"/>
                <w:szCs w:val="24"/>
              </w:rPr>
              <w:t xml:space="preserve"> третьего лица и указанное реше</w:t>
            </w:r>
            <w:r w:rsidRPr="00AF1C9E">
              <w:rPr>
                <w:i/>
                <w:color w:val="000000"/>
                <w:sz w:val="24"/>
                <w:szCs w:val="24"/>
              </w:rPr>
              <w:t>ние вступит в законную силу, Лицензиат обязуется возместить Сублицензиату реальный ущерб, подтвержденный данным решен</w:t>
            </w:r>
            <w:r>
              <w:rPr>
                <w:i/>
                <w:color w:val="000000"/>
                <w:sz w:val="24"/>
                <w:szCs w:val="24"/>
              </w:rPr>
              <w:t>ием суда и понесенный Сублицен</w:t>
            </w:r>
            <w:r w:rsidRPr="00AF1C9E">
              <w:rPr>
                <w:i/>
                <w:color w:val="000000"/>
                <w:sz w:val="24"/>
                <w:szCs w:val="24"/>
              </w:rPr>
              <w:t>зиатом в ре</w:t>
            </w:r>
            <w:r>
              <w:rPr>
                <w:i/>
                <w:color w:val="000000"/>
                <w:sz w:val="24"/>
                <w:szCs w:val="24"/>
              </w:rPr>
              <w:t>зульта</w:t>
            </w:r>
            <w:r w:rsidRPr="00AF1C9E">
              <w:rPr>
                <w:i/>
                <w:color w:val="000000"/>
                <w:sz w:val="24"/>
                <w:szCs w:val="24"/>
              </w:rPr>
              <w:t>те нарушения Лицензиатом гарантий.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8C1668" w:rsidP="008C166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</w:t>
            </w:r>
            <w:r w:rsidRPr="008C1668">
              <w:rPr>
                <w:i/>
                <w:color w:val="000000"/>
                <w:sz w:val="24"/>
                <w:szCs w:val="24"/>
              </w:rPr>
              <w:t xml:space="preserve">В течение 5-ти (пяти) дней с момента подписания </w:t>
            </w:r>
            <w:r>
              <w:rPr>
                <w:i/>
                <w:color w:val="000000"/>
                <w:sz w:val="24"/>
                <w:szCs w:val="24"/>
              </w:rPr>
              <w:t>сторонами  Дого</w:t>
            </w:r>
            <w:r w:rsidRPr="008C1668">
              <w:rPr>
                <w:i/>
                <w:color w:val="000000"/>
                <w:sz w:val="24"/>
                <w:szCs w:val="24"/>
              </w:rPr>
              <w:t xml:space="preserve">вора, Лицензиат направляет курьерской службой Сублицензиату компакт-диск </w:t>
            </w:r>
            <w:proofErr w:type="gramStart"/>
            <w:r w:rsidRPr="008C1668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8C1668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C1668">
              <w:rPr>
                <w:i/>
                <w:color w:val="000000"/>
                <w:sz w:val="24"/>
                <w:szCs w:val="24"/>
              </w:rPr>
              <w:t>ПО</w:t>
            </w:r>
            <w:proofErr w:type="gramEnd"/>
            <w:r w:rsidRPr="008C1668">
              <w:rPr>
                <w:i/>
                <w:color w:val="000000"/>
                <w:sz w:val="24"/>
                <w:szCs w:val="24"/>
              </w:rPr>
              <w:t xml:space="preserve"> и ключ аппаратной защиты для USB-порт</w:t>
            </w:r>
            <w:r w:rsidR="00152275">
              <w:rPr>
                <w:i/>
                <w:color w:val="000000"/>
                <w:sz w:val="24"/>
                <w:szCs w:val="24"/>
              </w:rPr>
              <w:t>а компьютера. Адрес Сублицензиа</w:t>
            </w:r>
            <w:r w:rsidRPr="008C1668">
              <w:rPr>
                <w:i/>
                <w:color w:val="000000"/>
                <w:sz w:val="24"/>
                <w:szCs w:val="24"/>
              </w:rPr>
              <w:t xml:space="preserve">та: </w:t>
            </w:r>
            <w:r w:rsidR="00152275" w:rsidRPr="00152275">
              <w:rPr>
                <w:i/>
                <w:color w:val="000000"/>
                <w:sz w:val="24"/>
                <w:szCs w:val="24"/>
              </w:rPr>
              <w:t>109004, г. Москва ул. Земляной Вал, д.59, стр. 2</w:t>
            </w:r>
            <w:r w:rsidRPr="008C166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8C1668" w:rsidP="00DB6AF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 w:rsidRPr="008C1668">
              <w:rPr>
                <w:color w:val="000000"/>
                <w:sz w:val="24"/>
                <w:szCs w:val="24"/>
              </w:rPr>
              <w:t xml:space="preserve">омпакт-диск </w:t>
            </w:r>
            <w:proofErr w:type="gramStart"/>
            <w:r w:rsidRPr="008C1668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8C166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C1668">
              <w:rPr>
                <w:color w:val="000000"/>
                <w:sz w:val="24"/>
                <w:szCs w:val="24"/>
              </w:rPr>
              <w:t>ПО</w:t>
            </w:r>
            <w:proofErr w:type="gramEnd"/>
            <w:r w:rsidRPr="008C1668">
              <w:rPr>
                <w:color w:val="000000"/>
                <w:sz w:val="24"/>
                <w:szCs w:val="24"/>
              </w:rPr>
              <w:t xml:space="preserve"> и ключ аппаратной защиты для USB-порта компьютера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063CBF" w:rsidRPr="001F6931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63CBF" w:rsidRPr="001F6931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063CBF" w:rsidRPr="001F6931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63CBF" w:rsidRPr="001F6931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50E49" w:rsidRDefault="00506462"/>
    <w:sectPr w:rsidR="00450E49" w:rsidSect="00A35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35053"/>
    <w:multiLevelType w:val="multilevel"/>
    <w:tmpl w:val="9D20694C"/>
    <w:lvl w:ilvl="0">
      <w:start w:val="1"/>
      <w:numFmt w:val="decimal"/>
      <w:pStyle w:val="1"/>
      <w:lvlText w:val="%1."/>
      <w:lvlJc w:val="left"/>
      <w:pPr>
        <w:tabs>
          <w:tab w:val="num" w:pos="4500"/>
        </w:tabs>
        <w:ind w:left="3950" w:hanging="170"/>
      </w:pPr>
      <w:rPr>
        <w:rFonts w:hint="default"/>
        <w:sz w:val="20"/>
        <w:szCs w:val="20"/>
      </w:rPr>
    </w:lvl>
    <w:lvl w:ilvl="1">
      <w:start w:val="1"/>
      <w:numFmt w:val="decimal"/>
      <w:pStyle w:val="2"/>
      <w:lvlText w:val="%1.%2"/>
      <w:lvlJc w:val="left"/>
      <w:pPr>
        <w:tabs>
          <w:tab w:val="num" w:pos="1260"/>
        </w:tabs>
        <w:ind w:left="1260" w:hanging="720"/>
      </w:pPr>
      <w:rPr>
        <w:rFonts w:hint="default"/>
        <w:sz w:val="20"/>
        <w:szCs w:val="20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pStyle w:val="4"/>
      <w:lvlText w:val="%1.%2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165C"/>
    <w:rsid w:val="00063CBF"/>
    <w:rsid w:val="00152275"/>
    <w:rsid w:val="0020165C"/>
    <w:rsid w:val="003858B5"/>
    <w:rsid w:val="004855C0"/>
    <w:rsid w:val="004F4AA6"/>
    <w:rsid w:val="00506462"/>
    <w:rsid w:val="0052637E"/>
    <w:rsid w:val="0061154C"/>
    <w:rsid w:val="00684950"/>
    <w:rsid w:val="008C1668"/>
    <w:rsid w:val="009C4287"/>
    <w:rsid w:val="00A352D0"/>
    <w:rsid w:val="00AF1C9E"/>
    <w:rsid w:val="00CD693F"/>
    <w:rsid w:val="00DB28DC"/>
    <w:rsid w:val="00EE6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84950"/>
    <w:pPr>
      <w:keepNext/>
      <w:numPr>
        <w:numId w:val="1"/>
      </w:numPr>
      <w:spacing w:before="240" w:after="60"/>
      <w:ind w:right="567"/>
      <w:jc w:val="center"/>
      <w:outlineLvl w:val="0"/>
    </w:pPr>
    <w:rPr>
      <w:rFonts w:ascii="Arial" w:hAnsi="Arial"/>
      <w:b/>
      <w:kern w:val="32"/>
      <w:szCs w:val="20"/>
      <w:lang w:val="en-US"/>
    </w:rPr>
  </w:style>
  <w:style w:type="paragraph" w:styleId="2">
    <w:name w:val="heading 2"/>
    <w:basedOn w:val="a"/>
    <w:next w:val="a"/>
    <w:link w:val="20"/>
    <w:qFormat/>
    <w:rsid w:val="00684950"/>
    <w:pPr>
      <w:numPr>
        <w:ilvl w:val="1"/>
        <w:numId w:val="1"/>
      </w:numPr>
      <w:spacing w:before="120" w:after="120"/>
      <w:jc w:val="both"/>
      <w:outlineLvl w:val="1"/>
    </w:pPr>
    <w:rPr>
      <w:rFonts w:ascii="Arial" w:hAnsi="Arial"/>
      <w:snapToGrid w:val="0"/>
      <w:color w:val="000000"/>
      <w:sz w:val="24"/>
      <w:szCs w:val="20"/>
      <w:lang w:val="en-US"/>
    </w:rPr>
  </w:style>
  <w:style w:type="paragraph" w:styleId="3">
    <w:name w:val="heading 3"/>
    <w:basedOn w:val="a"/>
    <w:next w:val="a"/>
    <w:link w:val="30"/>
    <w:autoRedefine/>
    <w:qFormat/>
    <w:rsid w:val="00684950"/>
    <w:pPr>
      <w:numPr>
        <w:ilvl w:val="2"/>
        <w:numId w:val="1"/>
      </w:numPr>
      <w:tabs>
        <w:tab w:val="clear" w:pos="720"/>
        <w:tab w:val="num" w:pos="1260"/>
      </w:tabs>
      <w:spacing w:after="120"/>
      <w:ind w:left="0" w:firstLine="540"/>
      <w:jc w:val="both"/>
      <w:outlineLvl w:val="2"/>
    </w:pPr>
    <w:rPr>
      <w:rFonts w:ascii="Arial" w:hAnsi="Arial" w:cs="Arial"/>
      <w:color w:val="000000"/>
      <w:sz w:val="20"/>
      <w:szCs w:val="20"/>
    </w:rPr>
  </w:style>
  <w:style w:type="paragraph" w:styleId="4">
    <w:name w:val="heading 4"/>
    <w:basedOn w:val="a"/>
    <w:next w:val="a"/>
    <w:link w:val="40"/>
    <w:qFormat/>
    <w:rsid w:val="00684950"/>
    <w:pPr>
      <w:keepNext/>
      <w:numPr>
        <w:ilvl w:val="3"/>
        <w:numId w:val="1"/>
      </w:numPr>
      <w:spacing w:after="120"/>
      <w:jc w:val="both"/>
      <w:outlineLvl w:val="3"/>
    </w:pPr>
    <w:rPr>
      <w:rFonts w:ascii="Arial" w:hAnsi="Arial"/>
      <w:szCs w:val="20"/>
      <w:lang w:val="en-US"/>
    </w:rPr>
  </w:style>
  <w:style w:type="paragraph" w:styleId="5">
    <w:name w:val="heading 5"/>
    <w:basedOn w:val="a"/>
    <w:next w:val="a"/>
    <w:link w:val="50"/>
    <w:qFormat/>
    <w:rsid w:val="00684950"/>
    <w:pPr>
      <w:keepNext/>
      <w:numPr>
        <w:ilvl w:val="4"/>
        <w:numId w:val="1"/>
      </w:numPr>
      <w:spacing w:after="120"/>
      <w:jc w:val="both"/>
      <w:outlineLvl w:val="4"/>
    </w:pPr>
    <w:rPr>
      <w:rFonts w:ascii="Arial" w:hAnsi="Arial"/>
      <w:sz w:val="24"/>
      <w:szCs w:val="20"/>
    </w:rPr>
  </w:style>
  <w:style w:type="paragraph" w:styleId="6">
    <w:name w:val="heading 6"/>
    <w:basedOn w:val="a"/>
    <w:next w:val="a"/>
    <w:link w:val="60"/>
    <w:qFormat/>
    <w:rsid w:val="00684950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  <w:szCs w:val="20"/>
      <w:lang w:val="en-US"/>
    </w:rPr>
  </w:style>
  <w:style w:type="paragraph" w:styleId="7">
    <w:name w:val="heading 7"/>
    <w:basedOn w:val="a"/>
    <w:next w:val="a"/>
    <w:link w:val="70"/>
    <w:qFormat/>
    <w:rsid w:val="00684950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4"/>
      <w:szCs w:val="20"/>
      <w:lang w:val="en-US"/>
    </w:rPr>
  </w:style>
  <w:style w:type="paragraph" w:styleId="8">
    <w:name w:val="heading 8"/>
    <w:basedOn w:val="a"/>
    <w:next w:val="a"/>
    <w:link w:val="80"/>
    <w:qFormat/>
    <w:rsid w:val="00684950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4"/>
      <w:szCs w:val="20"/>
      <w:lang w:val="en-US"/>
    </w:rPr>
  </w:style>
  <w:style w:type="paragraph" w:styleId="9">
    <w:name w:val="heading 9"/>
    <w:basedOn w:val="a"/>
    <w:next w:val="a"/>
    <w:link w:val="90"/>
    <w:qFormat/>
    <w:rsid w:val="00684950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63CB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63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84950"/>
    <w:rPr>
      <w:rFonts w:ascii="Arial" w:eastAsia="Times New Roman" w:hAnsi="Arial" w:cs="Times New Roman"/>
      <w:b/>
      <w:kern w:val="32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684950"/>
    <w:rPr>
      <w:rFonts w:ascii="Arial" w:eastAsia="Times New Roman" w:hAnsi="Arial" w:cs="Times New Roman"/>
      <w:snapToGrid w:val="0"/>
      <w:color w:val="000000"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684950"/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84950"/>
    <w:rPr>
      <w:rFonts w:ascii="Arial" w:eastAsia="Times New Roman" w:hAnsi="Arial" w:cs="Times New Roman"/>
      <w:sz w:val="28"/>
      <w:szCs w:val="20"/>
      <w:lang w:val="en-US" w:eastAsia="ru-RU"/>
    </w:rPr>
  </w:style>
  <w:style w:type="character" w:customStyle="1" w:styleId="50">
    <w:name w:val="Заголовок 5 Знак"/>
    <w:basedOn w:val="a0"/>
    <w:link w:val="5"/>
    <w:rsid w:val="0068495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84950"/>
    <w:rPr>
      <w:rFonts w:ascii="Arial" w:eastAsia="Times New Roman" w:hAnsi="Arial" w:cs="Times New Roman"/>
      <w:i/>
      <w:szCs w:val="20"/>
      <w:lang w:val="en-US"/>
    </w:rPr>
  </w:style>
  <w:style w:type="character" w:customStyle="1" w:styleId="70">
    <w:name w:val="Заголовок 7 Знак"/>
    <w:basedOn w:val="a0"/>
    <w:link w:val="7"/>
    <w:rsid w:val="00684950"/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80">
    <w:name w:val="Заголовок 8 Знак"/>
    <w:basedOn w:val="a0"/>
    <w:link w:val="8"/>
    <w:rsid w:val="00684950"/>
    <w:rPr>
      <w:rFonts w:ascii="Arial" w:eastAsia="Times New Roman" w:hAnsi="Arial" w:cs="Times New Roman"/>
      <w:i/>
      <w:sz w:val="24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684950"/>
    <w:rPr>
      <w:rFonts w:ascii="Arial" w:eastAsia="Times New Roman" w:hAnsi="Arial" w:cs="Times New Roman"/>
      <w:b/>
      <w:i/>
      <w:sz w:val="1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EE61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1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84950"/>
    <w:pPr>
      <w:keepNext/>
      <w:numPr>
        <w:numId w:val="1"/>
      </w:numPr>
      <w:spacing w:before="240" w:after="60"/>
      <w:ind w:right="567"/>
      <w:jc w:val="center"/>
      <w:outlineLvl w:val="0"/>
    </w:pPr>
    <w:rPr>
      <w:rFonts w:ascii="Arial" w:hAnsi="Arial"/>
      <w:b/>
      <w:kern w:val="32"/>
      <w:szCs w:val="20"/>
      <w:lang w:val="en-US"/>
    </w:rPr>
  </w:style>
  <w:style w:type="paragraph" w:styleId="2">
    <w:name w:val="heading 2"/>
    <w:basedOn w:val="a"/>
    <w:next w:val="a"/>
    <w:link w:val="20"/>
    <w:qFormat/>
    <w:rsid w:val="00684950"/>
    <w:pPr>
      <w:numPr>
        <w:ilvl w:val="1"/>
        <w:numId w:val="1"/>
      </w:numPr>
      <w:spacing w:before="120" w:after="120"/>
      <w:jc w:val="both"/>
      <w:outlineLvl w:val="1"/>
    </w:pPr>
    <w:rPr>
      <w:rFonts w:ascii="Arial" w:hAnsi="Arial"/>
      <w:snapToGrid w:val="0"/>
      <w:color w:val="000000"/>
      <w:sz w:val="24"/>
      <w:szCs w:val="20"/>
      <w:lang w:val="en-US"/>
    </w:rPr>
  </w:style>
  <w:style w:type="paragraph" w:styleId="3">
    <w:name w:val="heading 3"/>
    <w:basedOn w:val="a"/>
    <w:next w:val="a"/>
    <w:link w:val="30"/>
    <w:autoRedefine/>
    <w:qFormat/>
    <w:rsid w:val="00684950"/>
    <w:pPr>
      <w:numPr>
        <w:ilvl w:val="2"/>
        <w:numId w:val="1"/>
      </w:numPr>
      <w:tabs>
        <w:tab w:val="clear" w:pos="720"/>
        <w:tab w:val="num" w:pos="1260"/>
      </w:tabs>
      <w:spacing w:after="120"/>
      <w:ind w:left="0" w:firstLine="540"/>
      <w:jc w:val="both"/>
      <w:outlineLvl w:val="2"/>
    </w:pPr>
    <w:rPr>
      <w:rFonts w:ascii="Arial" w:hAnsi="Arial" w:cs="Arial"/>
      <w:color w:val="000000"/>
      <w:sz w:val="20"/>
      <w:szCs w:val="20"/>
    </w:rPr>
  </w:style>
  <w:style w:type="paragraph" w:styleId="4">
    <w:name w:val="heading 4"/>
    <w:basedOn w:val="a"/>
    <w:next w:val="a"/>
    <w:link w:val="40"/>
    <w:qFormat/>
    <w:rsid w:val="00684950"/>
    <w:pPr>
      <w:keepNext/>
      <w:numPr>
        <w:ilvl w:val="3"/>
        <w:numId w:val="1"/>
      </w:numPr>
      <w:spacing w:after="120"/>
      <w:jc w:val="both"/>
      <w:outlineLvl w:val="3"/>
    </w:pPr>
    <w:rPr>
      <w:rFonts w:ascii="Arial" w:hAnsi="Arial"/>
      <w:szCs w:val="20"/>
      <w:lang w:val="en-US"/>
    </w:rPr>
  </w:style>
  <w:style w:type="paragraph" w:styleId="5">
    <w:name w:val="heading 5"/>
    <w:basedOn w:val="a"/>
    <w:next w:val="a"/>
    <w:link w:val="50"/>
    <w:qFormat/>
    <w:rsid w:val="00684950"/>
    <w:pPr>
      <w:keepNext/>
      <w:numPr>
        <w:ilvl w:val="4"/>
        <w:numId w:val="1"/>
      </w:numPr>
      <w:spacing w:after="120"/>
      <w:jc w:val="both"/>
      <w:outlineLvl w:val="4"/>
    </w:pPr>
    <w:rPr>
      <w:rFonts w:ascii="Arial" w:hAnsi="Arial"/>
      <w:sz w:val="24"/>
      <w:szCs w:val="20"/>
    </w:rPr>
  </w:style>
  <w:style w:type="paragraph" w:styleId="6">
    <w:name w:val="heading 6"/>
    <w:basedOn w:val="a"/>
    <w:next w:val="a"/>
    <w:link w:val="60"/>
    <w:qFormat/>
    <w:rsid w:val="00684950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  <w:szCs w:val="20"/>
      <w:lang w:val="en-US" w:eastAsia="x-none"/>
    </w:rPr>
  </w:style>
  <w:style w:type="paragraph" w:styleId="7">
    <w:name w:val="heading 7"/>
    <w:basedOn w:val="a"/>
    <w:next w:val="a"/>
    <w:link w:val="70"/>
    <w:qFormat/>
    <w:rsid w:val="00684950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4"/>
      <w:szCs w:val="20"/>
      <w:lang w:val="en-US"/>
    </w:rPr>
  </w:style>
  <w:style w:type="paragraph" w:styleId="8">
    <w:name w:val="heading 8"/>
    <w:basedOn w:val="a"/>
    <w:next w:val="a"/>
    <w:link w:val="80"/>
    <w:qFormat/>
    <w:rsid w:val="00684950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4"/>
      <w:szCs w:val="20"/>
      <w:lang w:val="en-US"/>
    </w:rPr>
  </w:style>
  <w:style w:type="paragraph" w:styleId="9">
    <w:name w:val="heading 9"/>
    <w:basedOn w:val="a"/>
    <w:next w:val="a"/>
    <w:link w:val="90"/>
    <w:qFormat/>
    <w:rsid w:val="00684950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84950"/>
    <w:rPr>
      <w:rFonts w:ascii="Arial" w:eastAsia="Times New Roman" w:hAnsi="Arial" w:cs="Times New Roman"/>
      <w:b/>
      <w:kern w:val="32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684950"/>
    <w:rPr>
      <w:rFonts w:ascii="Arial" w:eastAsia="Times New Roman" w:hAnsi="Arial" w:cs="Times New Roman"/>
      <w:snapToGrid w:val="0"/>
      <w:color w:val="000000"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684950"/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84950"/>
    <w:rPr>
      <w:rFonts w:ascii="Arial" w:eastAsia="Times New Roman" w:hAnsi="Arial" w:cs="Times New Roman"/>
      <w:sz w:val="28"/>
      <w:szCs w:val="20"/>
      <w:lang w:val="en-US" w:eastAsia="ru-RU"/>
    </w:rPr>
  </w:style>
  <w:style w:type="character" w:customStyle="1" w:styleId="50">
    <w:name w:val="Заголовок 5 Знак"/>
    <w:basedOn w:val="a0"/>
    <w:link w:val="5"/>
    <w:rsid w:val="0068495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84950"/>
    <w:rPr>
      <w:rFonts w:ascii="Arial" w:eastAsia="Times New Roman" w:hAnsi="Arial" w:cs="Times New Roman"/>
      <w:i/>
      <w:szCs w:val="20"/>
      <w:lang w:val="en-US" w:eastAsia="x-none"/>
    </w:rPr>
  </w:style>
  <w:style w:type="character" w:customStyle="1" w:styleId="70">
    <w:name w:val="Заголовок 7 Знак"/>
    <w:basedOn w:val="a0"/>
    <w:link w:val="7"/>
    <w:rsid w:val="00684950"/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80">
    <w:name w:val="Заголовок 8 Знак"/>
    <w:basedOn w:val="a0"/>
    <w:link w:val="8"/>
    <w:rsid w:val="00684950"/>
    <w:rPr>
      <w:rFonts w:ascii="Arial" w:eastAsia="Times New Roman" w:hAnsi="Arial" w:cs="Times New Roman"/>
      <w:i/>
      <w:sz w:val="24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684950"/>
    <w:rPr>
      <w:rFonts w:ascii="Arial" w:eastAsia="Times New Roman" w:hAnsi="Arial" w:cs="Times New Roman"/>
      <w:b/>
      <w:i/>
      <w:sz w:val="1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EE61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1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1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potemkin.s.d</cp:lastModifiedBy>
  <cp:revision>6</cp:revision>
  <cp:lastPrinted>2014-05-17T12:08:00Z</cp:lastPrinted>
  <dcterms:created xsi:type="dcterms:W3CDTF">2014-04-18T10:07:00Z</dcterms:created>
  <dcterms:modified xsi:type="dcterms:W3CDTF">2014-06-04T12:22:00Z</dcterms:modified>
</cp:coreProperties>
</file>