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D89" w:rsidRDefault="00BA1D89" w:rsidP="000F0E7A">
      <w:pPr>
        <w:pStyle w:val="ListParagraph"/>
        <w:ind w:left="0"/>
        <w:jc w:val="center"/>
        <w:rPr>
          <w:rFonts w:ascii="Arial" w:hAnsi="Arial" w:cs="Arial"/>
          <w:b/>
          <w:bCs/>
          <w:sz w:val="24"/>
          <w:szCs w:val="24"/>
          <w:lang w:val="ru-RU"/>
        </w:rPr>
      </w:pPr>
    </w:p>
    <w:p w:rsidR="00BA1D89" w:rsidRPr="00953532" w:rsidRDefault="00BA1D89"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BA1D89" w:rsidRPr="00953532" w:rsidRDefault="00BA1D89"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BA1D89" w:rsidRDefault="00BA1D89"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BA1D89" w:rsidRDefault="00BA1D89" w:rsidP="004821A3">
      <w:pPr>
        <w:pStyle w:val="Heading1"/>
        <w:tabs>
          <w:tab w:val="left" w:pos="1134"/>
          <w:tab w:val="left" w:pos="15309"/>
        </w:tabs>
        <w:jc w:val="center"/>
        <w:rPr>
          <w:b w:val="0"/>
          <w:bCs w:val="0"/>
          <w:lang w:val="ru-RU"/>
        </w:rPr>
      </w:pPr>
    </w:p>
    <w:p w:rsidR="00BA1D89" w:rsidRDefault="00BA1D89" w:rsidP="004821A3">
      <w:pPr>
        <w:pStyle w:val="Heading1"/>
        <w:tabs>
          <w:tab w:val="left" w:pos="1134"/>
          <w:tab w:val="left" w:pos="15309"/>
        </w:tabs>
        <w:rPr>
          <w:b w:val="0"/>
          <w:bCs w:val="0"/>
          <w:lang w:val="ru-RU"/>
        </w:rPr>
      </w:pPr>
    </w:p>
    <w:p w:rsidR="00BA1D89" w:rsidRDefault="00BA1D89" w:rsidP="004821A3">
      <w:pPr>
        <w:pStyle w:val="Heading1"/>
        <w:tabs>
          <w:tab w:val="left" w:pos="1134"/>
          <w:tab w:val="left" w:pos="15309"/>
        </w:tabs>
        <w:jc w:val="center"/>
        <w:rPr>
          <w:b w:val="0"/>
          <w:bCs w:val="0"/>
          <w:lang w:val="ru-RU"/>
        </w:rPr>
      </w:pPr>
    </w:p>
    <w:p w:rsidR="00BA1D89" w:rsidRDefault="00BA1D89" w:rsidP="004821A3">
      <w:pPr>
        <w:pStyle w:val="Heading1"/>
        <w:tabs>
          <w:tab w:val="left" w:pos="1134"/>
          <w:tab w:val="left" w:pos="15309"/>
        </w:tabs>
        <w:rPr>
          <w:b w:val="0"/>
          <w:bCs w:val="0"/>
          <w:lang w:val="ru-RU"/>
        </w:rPr>
      </w:pPr>
    </w:p>
    <w:p w:rsidR="00BA1D89" w:rsidRPr="004821A3" w:rsidRDefault="00BA1D89"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Pr>
          <w:rFonts w:ascii="Times New Roman" w:hAnsi="Times New Roman" w:cs="Times New Roman"/>
          <w:sz w:val="28"/>
          <w:szCs w:val="28"/>
          <w:lang w:val="ru-RU"/>
        </w:rPr>
        <w:t xml:space="preserve">АУКЦИОННАЯ </w:t>
      </w:r>
      <w:r w:rsidRPr="004821A3">
        <w:rPr>
          <w:rFonts w:ascii="Times New Roman" w:hAnsi="Times New Roman" w:cs="Times New Roman"/>
          <w:sz w:val="28"/>
          <w:szCs w:val="28"/>
          <w:lang w:val="ru-RU"/>
        </w:rPr>
        <w:t xml:space="preserve">ДОКУМЕНТАЦИЯ </w:t>
      </w:r>
      <w:bookmarkEnd w:id="0"/>
      <w:bookmarkEnd w:id="1"/>
      <w:bookmarkEnd w:id="2"/>
    </w:p>
    <w:p w:rsidR="00BA1D89" w:rsidRPr="005D6F83" w:rsidRDefault="00BA1D89"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 xml:space="preserve">открытый </w:t>
      </w:r>
      <w:r>
        <w:rPr>
          <w:rFonts w:ascii="Times New Roman" w:hAnsi="Times New Roman" w:cs="Times New Roman"/>
          <w:sz w:val="28"/>
          <w:szCs w:val="28"/>
          <w:lang w:val="ru-RU"/>
        </w:rPr>
        <w:t>аукцион</w:t>
      </w:r>
      <w:r w:rsidRPr="001B668F">
        <w:rPr>
          <w:rFonts w:ascii="Times New Roman" w:hAnsi="Times New Roman" w:cs="Times New Roman"/>
          <w:sz w:val="28"/>
          <w:szCs w:val="28"/>
          <w:lang w:val="ru-RU"/>
        </w:rPr>
        <w:t xml:space="preserve">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BA1D89" w:rsidRPr="0090125A" w:rsidRDefault="00BA1D89"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8324D7">
        <w:rPr>
          <w:rFonts w:ascii="Times New Roman" w:hAnsi="Times New Roman" w:cs="Times New Roman"/>
          <w:sz w:val="28"/>
          <w:szCs w:val="28"/>
          <w:lang w:val="ru-RU"/>
        </w:rPr>
        <w:t xml:space="preserve">поставку </w:t>
      </w:r>
      <w:r>
        <w:rPr>
          <w:rFonts w:ascii="Times New Roman" w:hAnsi="Times New Roman" w:cs="Times New Roman"/>
          <w:sz w:val="28"/>
          <w:szCs w:val="28"/>
          <w:lang w:val="ru-RU"/>
        </w:rPr>
        <w:t>переносных</w:t>
      </w:r>
      <w:r w:rsidRPr="00CE6340">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искателей неконтактных взрывных устройств </w:t>
      </w:r>
    </w:p>
    <w:p w:rsidR="00BA1D89" w:rsidRPr="004821A3" w:rsidRDefault="00BA1D89" w:rsidP="004821A3">
      <w:pPr>
        <w:jc w:val="center"/>
        <w:rPr>
          <w:rFonts w:ascii="Times New Roman" w:hAnsi="Times New Roman" w:cs="Times New Roman"/>
          <w:sz w:val="28"/>
          <w:szCs w:val="28"/>
          <w:lang w:val="ru-RU"/>
        </w:rPr>
      </w:pPr>
    </w:p>
    <w:p w:rsidR="00BA1D89" w:rsidRPr="004821A3"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BA1D89" w:rsidRPr="005E4DC6"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90125A" w:rsidRDefault="00BA1D89" w:rsidP="00E123BB">
      <w:pP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5E4DC6" w:rsidRDefault="00BA1D89" w:rsidP="004821A3">
      <w:pPr>
        <w:jc w:val="center"/>
        <w:rPr>
          <w:rFonts w:ascii="Times New Roman" w:hAnsi="Times New Roman" w:cs="Times New Roman"/>
          <w:sz w:val="28"/>
          <w:szCs w:val="28"/>
          <w:lang w:val="ru-RU"/>
        </w:rPr>
      </w:pPr>
    </w:p>
    <w:p w:rsidR="00BA1D89" w:rsidRPr="003A345D" w:rsidRDefault="00BA1D89"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BA1D89" w:rsidRDefault="00BA1D89" w:rsidP="004821A3">
      <w:pPr>
        <w:rPr>
          <w:sz w:val="28"/>
          <w:szCs w:val="28"/>
          <w:lang w:val="ru-RU"/>
        </w:rPr>
      </w:pPr>
    </w:p>
    <w:p w:rsidR="00BA1D89" w:rsidRDefault="00BA1D89" w:rsidP="004821A3">
      <w:pPr>
        <w:rPr>
          <w:sz w:val="28"/>
          <w:szCs w:val="28"/>
          <w:lang w:val="ru-RU"/>
        </w:rPr>
      </w:pPr>
    </w:p>
    <w:p w:rsidR="00BA1D89" w:rsidRPr="001A1E14" w:rsidRDefault="00BA1D89" w:rsidP="004821A3">
      <w:pPr>
        <w:rPr>
          <w:sz w:val="28"/>
          <w:szCs w:val="28"/>
          <w:lang w:val="ru-RU"/>
        </w:rPr>
      </w:pPr>
    </w:p>
    <w:p w:rsidR="00BA1D89" w:rsidRDefault="00BA1D89"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BA1D89" w:rsidSect="00366000">
          <w:pgSz w:w="11907" w:h="16840" w:code="9"/>
          <w:pgMar w:top="719" w:right="567" w:bottom="567" w:left="1134" w:header="709" w:footer="709" w:gutter="0"/>
          <w:pgNumType w:start="1"/>
          <w:cols w:space="708"/>
          <w:docGrid w:linePitch="360"/>
        </w:sectPr>
      </w:pPr>
    </w:p>
    <w:p w:rsidR="00BA1D89" w:rsidRPr="005D6F83" w:rsidRDefault="00BA1D89"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BA1D89" w:rsidRPr="005D6F83" w:rsidRDefault="00BA1D89"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Поставка</w:t>
      </w:r>
      <w:r>
        <w:rPr>
          <w:rFonts w:ascii="Times New Roman" w:hAnsi="Times New Roman" w:cs="Times New Roman"/>
          <w:sz w:val="24"/>
          <w:szCs w:val="24"/>
          <w:lang w:val="ru-RU"/>
        </w:rPr>
        <w:t xml:space="preserve"> переносных искателей</w:t>
      </w:r>
      <w:r w:rsidRPr="008324D7">
        <w:rPr>
          <w:rFonts w:ascii="Times New Roman" w:hAnsi="Times New Roman" w:cs="Times New Roman"/>
          <w:sz w:val="24"/>
          <w:szCs w:val="24"/>
          <w:lang w:val="ru-RU"/>
        </w:rPr>
        <w:t xml:space="preserve"> </w:t>
      </w:r>
      <w:r>
        <w:rPr>
          <w:rFonts w:ascii="Times New Roman" w:hAnsi="Times New Roman" w:cs="Times New Roman"/>
          <w:sz w:val="24"/>
          <w:szCs w:val="24"/>
          <w:lang w:val="ru-RU"/>
        </w:rPr>
        <w:t>неконтактных взрывных устройств</w:t>
      </w:r>
      <w:r w:rsidRPr="008324D7">
        <w:rPr>
          <w:rFonts w:ascii="Times New Roman" w:hAnsi="Times New Roman" w:cs="Times New Roman"/>
          <w:sz w:val="24"/>
          <w:szCs w:val="24"/>
          <w:lang w:val="ru-RU"/>
        </w:rPr>
        <w:t xml:space="preserve"> для нужд</w:t>
      </w:r>
      <w:r w:rsidRPr="005D6F83">
        <w:rPr>
          <w:rFonts w:ascii="Times New Roman" w:hAnsi="Times New Roman" w:cs="Times New Roman"/>
          <w:sz w:val="24"/>
          <w:szCs w:val="24"/>
          <w:lang w:val="ru-RU"/>
        </w:rPr>
        <w:t xml:space="preserve"> ФГУП СНПО «Элерон».</w:t>
      </w:r>
    </w:p>
    <w:p w:rsidR="00BA1D89" w:rsidRPr="005D6F83" w:rsidRDefault="00BA1D89"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BA1D89" w:rsidRPr="0090125A" w:rsidRDefault="00BA1D89" w:rsidP="005D6F83">
      <w:pPr>
        <w:keepNext/>
        <w:jc w:val="both"/>
        <w:rPr>
          <w:rFonts w:ascii="Times New Roman" w:hAnsi="Times New Roman" w:cs="Times New Roman"/>
          <w:sz w:val="24"/>
          <w:szCs w:val="24"/>
          <w:lang w:val="ru-RU"/>
        </w:rPr>
      </w:pPr>
      <w:r w:rsidRPr="0090125A">
        <w:rPr>
          <w:rFonts w:ascii="Times New Roman" w:hAnsi="Times New Roman" w:cs="Times New Roman"/>
          <w:sz w:val="24"/>
          <w:szCs w:val="24"/>
          <w:lang w:val="ru-RU"/>
        </w:rPr>
        <w:t>Предлагаемое к поставке оборудование должно быть серийным, новым,</w:t>
      </w:r>
      <w:r>
        <w:rPr>
          <w:rFonts w:ascii="Times New Roman" w:hAnsi="Times New Roman" w:cs="Times New Roman"/>
          <w:sz w:val="24"/>
          <w:szCs w:val="24"/>
          <w:lang w:val="ru-RU"/>
        </w:rPr>
        <w:t xml:space="preserve"> дата выпуска не ранее 2014 года,</w:t>
      </w:r>
      <w:r w:rsidRPr="0090125A">
        <w:rPr>
          <w:rFonts w:ascii="Times New Roman" w:hAnsi="Times New Roman" w:cs="Times New Roman"/>
          <w:sz w:val="24"/>
          <w:szCs w:val="24"/>
          <w:lang w:val="ru-RU"/>
        </w:rPr>
        <w:t xml:space="preserve"> не заложенным, не являться предметом споров третьих лиц.</w:t>
      </w: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088"/>
        <w:gridCol w:w="9072"/>
        <w:gridCol w:w="1260"/>
        <w:gridCol w:w="1075"/>
        <w:gridCol w:w="1440"/>
      </w:tblGrid>
      <w:tr w:rsidR="00BA1D89" w:rsidRPr="005D6F83">
        <w:trPr>
          <w:trHeight w:val="255"/>
        </w:trPr>
        <w:tc>
          <w:tcPr>
            <w:tcW w:w="720" w:type="dxa"/>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088" w:type="dxa"/>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9072" w:type="dxa"/>
            <w:noWrap/>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BA1D89" w:rsidRPr="005D6F83" w:rsidRDefault="00BA1D89"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BA1D89" w:rsidRPr="0090125A">
        <w:trPr>
          <w:trHeight w:val="255"/>
        </w:trPr>
        <w:tc>
          <w:tcPr>
            <w:tcW w:w="720" w:type="dxa"/>
            <w:vAlign w:val="center"/>
          </w:tcPr>
          <w:p w:rsidR="00BA1D89" w:rsidRPr="005D6F83" w:rsidRDefault="00BA1D89"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088" w:type="dxa"/>
          </w:tcPr>
          <w:p w:rsidR="00BA1D89" w:rsidRPr="00456510" w:rsidRDefault="00BA1D89" w:rsidP="0090125A">
            <w:pPr>
              <w:jc w:val="center"/>
              <w:rPr>
                <w:rFonts w:ascii="Times New Roman" w:hAnsi="Times New Roman" w:cs="Times New Roman"/>
                <w:sz w:val="24"/>
                <w:szCs w:val="24"/>
                <w:lang w:val="ru-RU"/>
              </w:rPr>
            </w:pPr>
            <w:r w:rsidRPr="00EC5BD2">
              <w:rPr>
                <w:rFonts w:ascii="Times New Roman" w:hAnsi="Times New Roman" w:cs="Times New Roman"/>
                <w:sz w:val="24"/>
                <w:szCs w:val="24"/>
                <w:lang w:val="ru-RU"/>
              </w:rPr>
              <w:t>Переносной искатель неконтактных взрывных устройств «ИНВУ-3М»</w:t>
            </w:r>
            <w:r w:rsidRPr="00456510">
              <w:rPr>
                <w:rFonts w:ascii="Times New Roman" w:hAnsi="Times New Roman" w:cs="Times New Roman"/>
                <w:sz w:val="24"/>
                <w:szCs w:val="24"/>
                <w:lang w:val="ru-RU"/>
              </w:rPr>
              <w:t xml:space="preserve"> (</w:t>
            </w:r>
            <w:r w:rsidRPr="00EC5BD2">
              <w:rPr>
                <w:rFonts w:ascii="Times New Roman" w:hAnsi="Times New Roman" w:cs="Times New Roman"/>
                <w:sz w:val="24"/>
                <w:szCs w:val="24"/>
                <w:lang w:val="ru-RU"/>
              </w:rPr>
              <w:t>или эквивалент)</w:t>
            </w:r>
            <w:r w:rsidRPr="00456510">
              <w:rPr>
                <w:rFonts w:ascii="Times New Roman" w:hAnsi="Times New Roman" w:cs="Times New Roman"/>
                <w:sz w:val="24"/>
                <w:szCs w:val="24"/>
                <w:lang w:val="ru-RU"/>
              </w:rPr>
              <w:t xml:space="preserve">, </w:t>
            </w:r>
            <w:r>
              <w:rPr>
                <w:rFonts w:ascii="Times New Roman" w:hAnsi="Times New Roman" w:cs="Times New Roman"/>
                <w:sz w:val="24"/>
                <w:szCs w:val="24"/>
                <w:lang w:val="ru-RU"/>
              </w:rPr>
              <w:t>приемка «ВП»</w:t>
            </w:r>
          </w:p>
          <w:p w:rsidR="00BA1D89" w:rsidRPr="00EC5BD2" w:rsidRDefault="00BA1D89" w:rsidP="0090125A">
            <w:pPr>
              <w:jc w:val="center"/>
              <w:rPr>
                <w:rFonts w:ascii="Times New Roman" w:hAnsi="Times New Roman" w:cs="Times New Roman"/>
                <w:sz w:val="24"/>
                <w:szCs w:val="24"/>
                <w:lang w:val="ru-RU"/>
              </w:rPr>
            </w:pPr>
          </w:p>
        </w:tc>
        <w:tc>
          <w:tcPr>
            <w:tcW w:w="9072" w:type="dxa"/>
            <w:noWrap/>
          </w:tcPr>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Изделие предназначено для дистанционного обнаружения минно-взрывных устройств с электронными взрывателями, установленных на поверхности грунта, в грунте (снегу) или в строительных конструкциях зданий и сооружений. Изделие относится к изделиям конкретного назначения вида 1 по </w:t>
            </w:r>
            <w:r w:rsidRPr="00EC5BD2">
              <w:rPr>
                <w:rFonts w:ascii="Times New Roman" w:hAnsi="Times New Roman" w:cs="Times New Roman"/>
                <w:color w:val="1C1719"/>
                <w:sz w:val="24"/>
                <w:szCs w:val="24"/>
                <w:u w:val="single"/>
                <w:lang w:val="ru-RU" w:eastAsia="ru-RU"/>
              </w:rPr>
              <w:t xml:space="preserve">ГОСТ РВ 20.39.303, </w:t>
            </w:r>
            <w:r w:rsidRPr="00EC5BD2">
              <w:rPr>
                <w:rFonts w:ascii="Times New Roman" w:hAnsi="Times New Roman" w:cs="Times New Roman"/>
                <w:color w:val="1C1719"/>
                <w:sz w:val="24"/>
                <w:szCs w:val="24"/>
                <w:lang w:val="ru-RU" w:eastAsia="ru-RU"/>
              </w:rPr>
              <w:t xml:space="preserve">с режимом многократного циклического применения, восстанавливаемым, обслуживаемым. По назначению и условиям эксплуатации изделие относится к аппаратуре группы 1.10 по </w:t>
            </w:r>
            <w:r w:rsidRPr="00EC5BD2">
              <w:rPr>
                <w:rFonts w:ascii="Times New Roman" w:hAnsi="Times New Roman" w:cs="Times New Roman"/>
                <w:color w:val="1C1719"/>
                <w:sz w:val="24"/>
                <w:szCs w:val="24"/>
                <w:u w:val="single"/>
                <w:lang w:val="ru-RU" w:eastAsia="ru-RU"/>
              </w:rPr>
              <w:t xml:space="preserve">ГОСТ РВ 20.39.304 </w:t>
            </w:r>
            <w:r w:rsidRPr="00EC5BD2">
              <w:rPr>
                <w:rFonts w:ascii="Times New Roman" w:hAnsi="Times New Roman" w:cs="Times New Roman"/>
                <w:color w:val="1C1719"/>
                <w:sz w:val="24"/>
                <w:szCs w:val="24"/>
                <w:lang w:val="ru-RU" w:eastAsia="ru-RU"/>
              </w:rPr>
              <w:t>и предназначено для работы во временных сооружениях и (или) на открытом воздухе.</w:t>
            </w:r>
          </w:p>
          <w:p w:rsidR="00BA1D89" w:rsidRPr="00EC5BD2" w:rsidRDefault="00BA1D89" w:rsidP="007E4FE4">
            <w:pPr>
              <w:autoSpaceDE w:val="0"/>
              <w:autoSpaceDN w:val="0"/>
              <w:adjustRightInd w:val="0"/>
              <w:spacing w:after="0" w:line="240" w:lineRule="auto"/>
              <w:rPr>
                <w:rFonts w:ascii="Times New Roman" w:hAnsi="Times New Roman" w:cs="Times New Roman"/>
                <w:b/>
                <w:bCs/>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b/>
                <w:bCs/>
                <w:color w:val="1C1719"/>
                <w:sz w:val="24"/>
                <w:szCs w:val="24"/>
                <w:u w:val="single"/>
                <w:lang w:val="ru-RU" w:eastAsia="ru-RU"/>
              </w:rPr>
              <w:t>Технические характеристики:</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u w:val="single"/>
                <w:lang w:val="ru-RU" w:eastAsia="ru-RU"/>
              </w:rPr>
              <w:t xml:space="preserve"> Условия эксплуатации, при которых изделие сохраняет работоспособность и свои технические параметры:</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 диапазон рабочих (кроме зарядного устройства) температур: от минус 30°</w:t>
            </w:r>
            <w:r w:rsidRPr="00EC5BD2">
              <w:rPr>
                <w:rFonts w:ascii="Times New Roman" w:hAnsi="Times New Roman" w:cs="Times New Roman"/>
                <w:color w:val="1C1719"/>
                <w:sz w:val="24"/>
                <w:szCs w:val="24"/>
                <w:lang w:eastAsia="ru-RU"/>
              </w:rPr>
              <w:t>C</w:t>
            </w:r>
            <w:r w:rsidRPr="00EC5BD2">
              <w:rPr>
                <w:rFonts w:ascii="Times New Roman" w:hAnsi="Times New Roman" w:cs="Times New Roman"/>
                <w:color w:val="1C1719"/>
                <w:sz w:val="24"/>
                <w:szCs w:val="24"/>
                <w:lang w:val="ru-RU" w:eastAsia="ru-RU"/>
              </w:rPr>
              <w:t xml:space="preserve"> до плюс 50°</w:t>
            </w:r>
            <w:r w:rsidRPr="00EC5BD2">
              <w:rPr>
                <w:rFonts w:ascii="Times New Roman" w:hAnsi="Times New Roman" w:cs="Times New Roman"/>
                <w:color w:val="1C1719"/>
                <w:sz w:val="24"/>
                <w:szCs w:val="24"/>
                <w:lang w:eastAsia="ru-RU"/>
              </w:rPr>
              <w:t>C</w:t>
            </w:r>
            <w:r w:rsidRPr="00EC5BD2">
              <w:rPr>
                <w:rFonts w:ascii="Times New Roman" w:hAnsi="Times New Roman" w:cs="Times New Roman"/>
                <w:color w:val="1C1719"/>
                <w:sz w:val="24"/>
                <w:szCs w:val="24"/>
                <w:lang w:val="ru-RU" w:eastAsia="ru-RU"/>
              </w:rPr>
              <w:t>;</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 диапазон рабочих температур для зарядного устройства: от плюс 5 до плюс 40°</w:t>
            </w:r>
            <w:r w:rsidRPr="00EC5BD2">
              <w:rPr>
                <w:rFonts w:ascii="Times New Roman" w:hAnsi="Times New Roman" w:cs="Times New Roman"/>
                <w:color w:val="1C1719"/>
                <w:sz w:val="24"/>
                <w:szCs w:val="24"/>
                <w:lang w:eastAsia="ru-RU"/>
              </w:rPr>
              <w:t>C</w:t>
            </w:r>
            <w:r w:rsidRPr="00EC5BD2">
              <w:rPr>
                <w:rFonts w:ascii="Times New Roman" w:hAnsi="Times New Roman" w:cs="Times New Roman"/>
                <w:color w:val="1C1719"/>
                <w:sz w:val="24"/>
                <w:szCs w:val="24"/>
                <w:lang w:val="ru-RU" w:eastAsia="ru-RU"/>
              </w:rPr>
              <w:t>;</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 диапазон предельных температур от минус 50°С до плюс 60°С</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 относительная влажность воздуха (95 ±3) % при температуре окружающей среды плюс (35±2)°С;</w:t>
            </w:r>
          </w:p>
          <w:p w:rsidR="00BA1D89" w:rsidRPr="00EC5BD2" w:rsidRDefault="00BA1D89" w:rsidP="007E4FE4">
            <w:pPr>
              <w:autoSpaceDE w:val="0"/>
              <w:autoSpaceDN w:val="0"/>
              <w:adjustRightInd w:val="0"/>
              <w:spacing w:after="0" w:line="240" w:lineRule="auto"/>
              <w:rPr>
                <w:rFonts w:ascii="Times New Roman" w:hAnsi="Times New Roman" w:cs="Times New Roman"/>
                <w:b/>
                <w:bCs/>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b/>
                <w:bCs/>
                <w:color w:val="1C1719"/>
                <w:sz w:val="24"/>
                <w:szCs w:val="24"/>
                <w:u w:val="single"/>
                <w:lang w:val="ru-RU" w:eastAsia="ru-RU"/>
              </w:rPr>
              <w:t>Технические требования:</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Выходная импульсная мощность первой гармоники приёмо-передатчика при работе в нормальных условиях:</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в режиме максимального излучения – в диапазоне от 158,0 до 245,0 Вт;</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в режиме минимального излучения – в диапазоне от 18,0 Вт до 26,0 Вт;</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Ослабление входных сигналов приемников: - 10 дБ; - 20 дБ; - 30 дБ.</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Дальность обнаружения эквивалента объекта поиска находящегося на высоте 1м от поверхности грунта в диапазоне от 0,6м до 2м в режиме минимальной мощности.</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Питание изделия </w:t>
            </w:r>
            <w:r w:rsidRPr="00EC5BD2">
              <w:rPr>
                <w:rFonts w:ascii="Times New Roman" w:hAnsi="Times New Roman" w:cs="Times New Roman"/>
                <w:color w:val="1C1719"/>
                <w:sz w:val="24"/>
                <w:szCs w:val="24"/>
                <w:lang w:val="ru-RU" w:eastAsia="ru-RU"/>
              </w:rPr>
              <w:t>автономное – от литий - ионного аккумулятора, размещенного в корпусе-блоке питания или от гальванических источников тока типа 373 – 5шт. устанавливаемых в контейнер источника питания батарейного. Аккумуляторная батарея в процессе эксплуатации из блока питания не извлекается.</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Время непрерывной работы изделия в режиме максимальной мощности с двумя блоками питания (аккумуляторная батарея) во всех условиях эксплуатации составляет не менее 8 часов.</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При питании от элементов питания – до 12 часов (зависит от характеристик применяемых гальванических источников тока).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Вид сигнализации, при обнаружении радиоэлектронных устройств – звуковая и визуальная (светодиодная индикаторная панель), при этом уровень звукового сигнала индикации в головных телефонах изменяется пропорционально уровню входного сигнала.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При снижении напряжения источника питания ниже диапазона от 5,65 В до 5,95 В предусмотрена светозвуковая индикация.</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Масса изделия:</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 в упаковке транспортной (11,6 ± 0,5) кг.</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Изделие имеет конструктивную защиту от переполюсовки питания.</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Комплект поставки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90"/>
              <w:gridCol w:w="1574"/>
            </w:tblGrid>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jc w:val="center"/>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Наименование</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Количество</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Блок радиолокационный</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Блок питания</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2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Кабель питания</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Телефоны головные</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Упаковка транспортная</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Устройство зарядное </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Кабель питания ЗУ сетевой</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Кабель питания ЗУ бортовой</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Эквивалент объекта поиска</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Контейнер источника питания батарейного</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EC5BD2">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Кабель питания </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Упаковка эксплутационная (ранец) с подсумком блока и питания подсумком контейнера источника питания батарейного</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Чехол антенный</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Чехол ЗУ</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8764" w:type="dxa"/>
                  <w:gridSpan w:val="2"/>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jc w:val="center"/>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Комплект запасных частей</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Кабель питания </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Эквивалент объекта поиска</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8764" w:type="dxa"/>
                  <w:gridSpan w:val="2"/>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jc w:val="center"/>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Эксплутационная документация</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Руководство по эксплуатации</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Формуляр</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r w:rsidR="00BA1D89" w:rsidRPr="00456510">
              <w:tc>
                <w:tcPr>
                  <w:tcW w:w="7190"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Схема укладки</w:t>
                  </w:r>
                </w:p>
              </w:tc>
              <w:tc>
                <w:tcPr>
                  <w:tcW w:w="1574" w:type="dxa"/>
                  <w:tcBorders>
                    <w:top w:val="single" w:sz="4" w:space="0" w:color="auto"/>
                    <w:left w:val="single" w:sz="4" w:space="0" w:color="auto"/>
                    <w:bottom w:val="single" w:sz="4" w:space="0" w:color="auto"/>
                    <w:right w:val="single" w:sz="4" w:space="0" w:color="auto"/>
                  </w:tcBorders>
                </w:tcPr>
                <w:p w:rsidR="00BA1D89" w:rsidRPr="00EC5BD2" w:rsidRDefault="00BA1D89" w:rsidP="006F5F2E">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1 шт.</w:t>
                  </w:r>
                </w:p>
              </w:tc>
            </w:tr>
          </w:tbl>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Блок радиолокационный</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Блок радиолокационный состоит из приемопередающего блока (далее – ППБ) и антенной системы, соединенных между собой кабелем. Блок радиолокационный предназначен излучения зондирующего сигнала в направлении объекта обследования, приема и обработки переизлученного сигнала, а также отображение их уровней светодиодным индикатором. ППБ выполнен в корпусе, верхняя и нижняя панели которого – пластиковые, кожух – металлический. Внутри корпуса ППБ размещены электронные блоки передатчика, приемников, плата коммутации. Антенная система состоит из двух соосно расположенных спиральных антенн (передающей и приемной) направленного излучения, которые закреплены на рефлекторе. Антенны закрыты пластиковым обтекателем. На пластиковый обтекатель надет матерчатый защитный чехол. На тыльной стороне рефлектора расположена панель управления и индикации, на которой расположены два ряда светодиодных индикаторов красного и зеленого цвета и пять кнопок управления. Антенная система снабжена рукояткой.</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Блок питания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Блок питания предназначен для осуществления автономного питания искателя. Блок питания представляет собой цилиндрический металлический корпус, в котором размещена литий-ионная аккумуляторная батарея. На верхней панели БП расположен разъем для подключения его к блоку ППБ или зарядному устройству.</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Кабель питания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Кабель питания предназначен для подключения БП к ППБ или к зарядному устройству.</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Телефоны головные</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Телефоны головные предназначены для звуковой сигнализации уровня принимаемого сигнала.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Упаковка эксплуатационная (ранец)</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Ранец предназначен для размещения изделия на операторе в рабочем положении. Ранец изготовлен из прочной ткани с защитным маскировочным окрашиванием. Он состоит из двух отсеков верхнего и нижнего, которые закрываются клапанами с застежками. В клапанах отсеков имеются отверстия для кабелей. ППБ размещается в нижнем кармане. Ранец снабжен поясным ремнем и плечевыми лямками, с застежками обеспечивающими возможность подгонки по фигуре оператора, а поясном ремне ранца располагается подсумок, в котором размещается запасной блок питания. На левой плечевой лямке имеется крючок, предназначенный для фиксации антенной системы на груди оператора в тех случаях, когда искатель не используется по назначению.</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Чехол антенный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Чехол антенный предназначен для защиты и маскировки антенны. Чехол антенный изготовлен из прочной ткани с защитным маскировочным окрашиванием.</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 xml:space="preserve">Упаковка транспортная </w:t>
            </w: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Упаковка представляет собой металлический ящик, который для перевозки и предохранения от механических повреждений помещается в картонную коробку. Ящик имеет защитное маскировочное окрашивание, снабжен ручками для переноски (одна вверху, две по бокам).</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Эквивалент объекта поиска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Эквивалент объекта поиска служит для проверки работоспособности искателя. Он представляет собой пластиковый цилиндр, в котором расположен полупроводниковый диод.</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Зарядное устройство</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Зарядное устройство (далее ЗУ) предназначено для заряда аккумуляторной батареи БП. Питание ЗУ осуществляется от сети переменного тока напряжение от 90 до 242В частотой 50 Гц или от бортовой сети постоянного тока напряжением от 11 до 30В.</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На передней панели ЗУ расположен разъем для подключения БП. Задняя панель ЗУ представляет собой радиатор, на котором расположен разъем для подключения сетевого кабеля, либо кабеля питания от бортовой сети. ЗУ выполнено в металлическом корпусе.</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Сетевой кабель питания зарядного устройства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Предназначен для подключения ЗУ к сети переменного тока.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Бортовой кабель питания зарядного устройства</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Предназначен для подключения ЗУ к сети постоянного тока напряжением 24В.</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u w:val="single"/>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Контейнер источника питания батарейного</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Контейнер источника питания батарейного предназначен для размещения 5 гальванических элементов типа 373. На корпусе контейнера нанесена гравировка, поясняющая порядок установки гальванических элементов. На верхней панели контейнера расположен разъем для подключения его к блоку ППБ или к зарядному устройству.</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Запасные части</w:t>
            </w:r>
            <w:r w:rsidRPr="00EC5BD2">
              <w:rPr>
                <w:rFonts w:ascii="Times New Roman" w:hAnsi="Times New Roman" w:cs="Times New Roman"/>
                <w:color w:val="1C1719"/>
                <w:sz w:val="24"/>
                <w:szCs w:val="24"/>
                <w:lang w:val="ru-RU" w:eastAsia="ru-RU"/>
              </w:rPr>
              <w:t>: эквивалент объекта поиска – 1шт., кабель питания – 1 шт.</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r w:rsidRPr="00EC5BD2">
              <w:rPr>
                <w:rFonts w:ascii="Times New Roman" w:hAnsi="Times New Roman" w:cs="Times New Roman"/>
                <w:color w:val="1C1719"/>
                <w:sz w:val="24"/>
                <w:szCs w:val="24"/>
                <w:lang w:val="ru-RU" w:eastAsia="ru-RU"/>
              </w:rPr>
              <w:t xml:space="preserve">     </w:t>
            </w:r>
            <w:r w:rsidRPr="00EC5BD2">
              <w:rPr>
                <w:rFonts w:ascii="Times New Roman" w:hAnsi="Times New Roman" w:cs="Times New Roman"/>
                <w:color w:val="1C1719"/>
                <w:sz w:val="24"/>
                <w:szCs w:val="24"/>
                <w:u w:val="single"/>
                <w:lang w:val="ru-RU" w:eastAsia="ru-RU"/>
              </w:rPr>
              <w:t>Цвет искателя и металлического ящика</w:t>
            </w:r>
            <w:r w:rsidRPr="00EC5BD2">
              <w:rPr>
                <w:rFonts w:ascii="Times New Roman" w:hAnsi="Times New Roman" w:cs="Times New Roman"/>
                <w:color w:val="1C1719"/>
                <w:sz w:val="24"/>
                <w:szCs w:val="24"/>
                <w:lang w:val="ru-RU" w:eastAsia="ru-RU"/>
              </w:rPr>
              <w:t xml:space="preserve"> – зеленый</w:t>
            </w:r>
          </w:p>
          <w:p w:rsidR="00BA1D89" w:rsidRPr="00EC5BD2" w:rsidRDefault="00BA1D89" w:rsidP="007E4FE4">
            <w:pPr>
              <w:autoSpaceDE w:val="0"/>
              <w:autoSpaceDN w:val="0"/>
              <w:adjustRightInd w:val="0"/>
              <w:spacing w:after="0" w:line="240" w:lineRule="auto"/>
              <w:rPr>
                <w:rFonts w:ascii="Times New Roman" w:hAnsi="Times New Roman" w:cs="Times New Roman"/>
                <w:color w:val="1C1719"/>
                <w:sz w:val="24"/>
                <w:szCs w:val="24"/>
                <w:lang w:val="ru-RU" w:eastAsia="ru-RU"/>
              </w:rPr>
            </w:pPr>
          </w:p>
        </w:tc>
        <w:tc>
          <w:tcPr>
            <w:tcW w:w="1260" w:type="dxa"/>
            <w:vAlign w:val="center"/>
          </w:tcPr>
          <w:p w:rsidR="00BA1D89" w:rsidRPr="00EC5BD2" w:rsidRDefault="00BA1D89" w:rsidP="00513BB5">
            <w:pPr>
              <w:jc w:val="center"/>
              <w:rPr>
                <w:rFonts w:ascii="Times New Roman" w:hAnsi="Times New Roman" w:cs="Times New Roman"/>
                <w:sz w:val="24"/>
                <w:szCs w:val="24"/>
                <w:lang w:val="ru-RU"/>
              </w:rPr>
            </w:pPr>
            <w:r w:rsidRPr="00EC5BD2">
              <w:rPr>
                <w:rFonts w:ascii="Times New Roman" w:hAnsi="Times New Roman" w:cs="Times New Roman"/>
                <w:sz w:val="24"/>
                <w:szCs w:val="24"/>
                <w:lang w:val="ru-RU" w:eastAsia="ru-RU"/>
              </w:rPr>
              <w:t>не менее 12 месяцев</w:t>
            </w:r>
          </w:p>
        </w:tc>
        <w:tc>
          <w:tcPr>
            <w:tcW w:w="1075" w:type="dxa"/>
            <w:vAlign w:val="center"/>
          </w:tcPr>
          <w:p w:rsidR="00BA1D89" w:rsidRPr="005D6F83" w:rsidRDefault="00BA1D89"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30</w:t>
            </w:r>
          </w:p>
        </w:tc>
        <w:tc>
          <w:tcPr>
            <w:tcW w:w="1440" w:type="dxa"/>
            <w:vAlign w:val="center"/>
          </w:tcPr>
          <w:p w:rsidR="00BA1D89" w:rsidRPr="005D6F83" w:rsidRDefault="00BA1D89"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шт.</w:t>
            </w:r>
          </w:p>
        </w:tc>
      </w:tr>
    </w:tbl>
    <w:p w:rsidR="00BA1D89" w:rsidRDefault="00BA1D89" w:rsidP="00B239CA">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должен принять во внимание, что ссылки в </w:t>
      </w:r>
      <w:r>
        <w:rPr>
          <w:rFonts w:ascii="Times New Roman" w:hAnsi="Times New Roman" w:cs="Times New Roman"/>
          <w:sz w:val="24"/>
          <w:szCs w:val="24"/>
          <w:lang w:val="ru-RU"/>
        </w:rPr>
        <w:t xml:space="preserve">аукционной </w:t>
      </w:r>
      <w:r w:rsidRPr="005D6F83">
        <w:rPr>
          <w:rFonts w:ascii="Times New Roman" w:hAnsi="Times New Roman" w:cs="Times New Roman"/>
          <w:sz w:val="24"/>
          <w:szCs w:val="24"/>
          <w:lang w:val="ru-RU"/>
        </w:rPr>
        <w:t>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w:t>
      </w:r>
      <w:r>
        <w:rPr>
          <w:rFonts w:ascii="Times New Roman" w:hAnsi="Times New Roman" w:cs="Times New Roman"/>
          <w:sz w:val="24"/>
          <w:szCs w:val="24"/>
          <w:lang w:val="ru-RU"/>
        </w:rPr>
        <w:t>аукциона</w:t>
      </w:r>
      <w:r w:rsidRPr="005D6F83">
        <w:rPr>
          <w:rFonts w:ascii="Times New Roman" w:hAnsi="Times New Roman" w:cs="Times New Roman"/>
          <w:sz w:val="24"/>
          <w:szCs w:val="24"/>
          <w:lang w:val="ru-RU"/>
        </w:rPr>
        <w:t xml:space="preserve"> может представить в своей заявке на участие в </w:t>
      </w:r>
      <w:r>
        <w:rPr>
          <w:rFonts w:ascii="Times New Roman" w:hAnsi="Times New Roman" w:cs="Times New Roman"/>
          <w:sz w:val="24"/>
          <w:szCs w:val="24"/>
          <w:lang w:val="ru-RU"/>
        </w:rPr>
        <w:t>аукционе</w:t>
      </w:r>
      <w:r w:rsidRPr="005D6F83">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BA1D89" w:rsidRPr="005D6F83" w:rsidRDefault="00BA1D89"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BA1D89" w:rsidRPr="00BF5CEA" w:rsidRDefault="00BA1D89"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8324D7">
        <w:rPr>
          <w:rFonts w:ascii="Times New Roman" w:hAnsi="Times New Roman" w:cs="Times New Roman"/>
          <w:sz w:val="24"/>
          <w:szCs w:val="24"/>
          <w:lang w:val="ru-RU"/>
        </w:rPr>
        <w:t>расходы Поставщика на доставку до склада Заказчика, стоимость товара, страхование, полный комплект технической документации, налог</w:t>
      </w:r>
      <w:r>
        <w:rPr>
          <w:rFonts w:ascii="Times New Roman" w:hAnsi="Times New Roman" w:cs="Times New Roman"/>
          <w:sz w:val="24"/>
          <w:szCs w:val="24"/>
          <w:lang w:val="ru-RU"/>
        </w:rPr>
        <w:t>и и другие обязательные платежи, приемку «ВП».</w:t>
      </w:r>
    </w:p>
    <w:p w:rsidR="00BA1D89" w:rsidRPr="005D6F83" w:rsidRDefault="00BA1D89"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BA1D89" w:rsidRPr="008768B7" w:rsidRDefault="00BA1D89" w:rsidP="008768B7">
      <w:pPr>
        <w:ind w:right="153"/>
        <w:jc w:val="both"/>
        <w:rPr>
          <w:rFonts w:ascii="Times New Roman" w:hAnsi="Times New Roman" w:cs="Times New Roman"/>
          <w:sz w:val="24"/>
          <w:szCs w:val="24"/>
          <w:lang w:val="ru-RU"/>
        </w:rPr>
      </w:pPr>
      <w:r w:rsidRPr="008768B7">
        <w:rPr>
          <w:rFonts w:ascii="Times New Roman" w:hAnsi="Times New Roman" w:cs="Times New Roman"/>
          <w:sz w:val="24"/>
          <w:szCs w:val="24"/>
          <w:lang w:val="ru-RU"/>
        </w:rPr>
        <w:t>Аванс – не предусмотрен</w:t>
      </w:r>
    </w:p>
    <w:p w:rsidR="00BA1D89" w:rsidRPr="008768B7" w:rsidRDefault="00BA1D89" w:rsidP="008768B7">
      <w:pPr>
        <w:ind w:right="153"/>
        <w:jc w:val="both"/>
        <w:rPr>
          <w:rFonts w:ascii="Times New Roman" w:hAnsi="Times New Roman" w:cs="Times New Roman"/>
          <w:sz w:val="24"/>
          <w:szCs w:val="24"/>
          <w:lang w:val="ru-RU"/>
        </w:rPr>
      </w:pPr>
      <w:r w:rsidRPr="008768B7">
        <w:rPr>
          <w:rFonts w:ascii="Times New Roman" w:hAnsi="Times New Roman" w:cs="Times New Roman"/>
          <w:sz w:val="24"/>
          <w:szCs w:val="24"/>
          <w:lang w:val="ru-RU"/>
        </w:rPr>
        <w:t>Порядок оплаты – безналичный р</w:t>
      </w:r>
      <w:r>
        <w:rPr>
          <w:rFonts w:ascii="Times New Roman" w:hAnsi="Times New Roman" w:cs="Times New Roman"/>
          <w:sz w:val="24"/>
          <w:szCs w:val="24"/>
          <w:lang w:val="ru-RU"/>
        </w:rPr>
        <w:t>асчет. 100 % оплата</w:t>
      </w:r>
      <w:r w:rsidRPr="008768B7">
        <w:rPr>
          <w:rFonts w:ascii="Times New Roman" w:hAnsi="Times New Roman" w:cs="Times New Roman"/>
          <w:sz w:val="24"/>
          <w:szCs w:val="24"/>
          <w:lang w:val="ru-RU"/>
        </w:rPr>
        <w:t xml:space="preserve"> в течение 30 дней </w:t>
      </w:r>
      <w:r>
        <w:rPr>
          <w:rFonts w:ascii="Times New Roman" w:hAnsi="Times New Roman" w:cs="Times New Roman"/>
          <w:sz w:val="24"/>
          <w:szCs w:val="24"/>
          <w:lang w:val="ru-RU"/>
        </w:rPr>
        <w:t>после поставки</w:t>
      </w:r>
      <w:r w:rsidRPr="008768B7">
        <w:rPr>
          <w:rFonts w:ascii="Times New Roman" w:hAnsi="Times New Roman" w:cs="Times New Roman"/>
          <w:sz w:val="24"/>
          <w:szCs w:val="24"/>
          <w:lang w:val="ru-RU"/>
        </w:rPr>
        <w:t xml:space="preserve"> (при наличии всех необходимых документов: сертификаты, счета-фактуры, ТТН)</w:t>
      </w:r>
    </w:p>
    <w:p w:rsidR="00BA1D89" w:rsidRPr="00513BB5" w:rsidRDefault="00BA1D89"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w:t>
      </w:r>
      <w:r>
        <w:rPr>
          <w:rFonts w:ascii="Times New Roman" w:hAnsi="Times New Roman" w:cs="Times New Roman"/>
          <w:b/>
          <w:bCs/>
          <w:sz w:val="24"/>
          <w:szCs w:val="24"/>
          <w:lang w:val="ru-RU"/>
        </w:rPr>
        <w:t xml:space="preserve"> маркировке и</w:t>
      </w:r>
      <w:r w:rsidRPr="00513BB5">
        <w:rPr>
          <w:rFonts w:ascii="Times New Roman" w:hAnsi="Times New Roman" w:cs="Times New Roman"/>
          <w:b/>
          <w:bCs/>
          <w:sz w:val="24"/>
          <w:szCs w:val="24"/>
          <w:lang w:val="ru-RU"/>
        </w:rPr>
        <w:t xml:space="preserve"> упаковке товара:</w:t>
      </w:r>
    </w:p>
    <w:p w:rsidR="00BA1D89" w:rsidRDefault="00BA1D89" w:rsidP="00B3261D">
      <w:pPr>
        <w:keepNext/>
        <w:jc w:val="both"/>
        <w:rPr>
          <w:rFonts w:ascii="Times New Roman" w:hAnsi="Times New Roman" w:cs="Times New Roman"/>
          <w:color w:val="1C1719"/>
          <w:sz w:val="24"/>
          <w:szCs w:val="24"/>
          <w:lang w:val="ru-RU" w:eastAsia="ru-RU"/>
        </w:rPr>
      </w:pPr>
      <w:r>
        <w:rPr>
          <w:rFonts w:ascii="Times New Roman" w:hAnsi="Times New Roman" w:cs="Times New Roman"/>
          <w:color w:val="1C1719"/>
          <w:sz w:val="24"/>
          <w:szCs w:val="24"/>
          <w:lang w:val="ru-RU" w:eastAsia="ru-RU"/>
        </w:rPr>
        <w:t xml:space="preserve">Поставляемый товар маркирован и упакован. Упаковка обеспечивает его полную сохранность и качество при погрузочно-разгрузочных работах, транспортировке и хранении, в том числе в пределах гарантийного срока. Маркировка нанесена на упаковку товара и включает в себя сведения о Заказчике, Поставщике, реквизитах Контракта, о самом изделии в соответствии с ведомостью поставки, его марке и модели.   </w:t>
      </w:r>
    </w:p>
    <w:p w:rsidR="00BA1D89" w:rsidRPr="00513BB5" w:rsidRDefault="00BA1D89" w:rsidP="00B3261D">
      <w:pPr>
        <w:keepNext/>
        <w:jc w:val="both"/>
        <w:rPr>
          <w:rFonts w:ascii="Times New Roman" w:hAnsi="Times New Roman" w:cs="Times New Roman"/>
          <w:b/>
          <w:bCs/>
          <w:sz w:val="24"/>
          <w:szCs w:val="24"/>
          <w:lang w:val="ru-RU"/>
        </w:rPr>
      </w:pPr>
      <w:r>
        <w:rPr>
          <w:rStyle w:val="rvts8"/>
          <w:color w:val="000000"/>
          <w:lang w:val="ru-RU"/>
        </w:rPr>
        <w:t xml:space="preserve">     </w:t>
      </w:r>
      <w:r w:rsidRPr="00513BB5">
        <w:rPr>
          <w:rStyle w:val="rvts8"/>
          <w:color w:val="000000"/>
          <w:lang w:val="ru-RU"/>
        </w:rPr>
        <w:t xml:space="preserve"> 6. Требования к технической документации</w:t>
      </w:r>
    </w:p>
    <w:p w:rsidR="00BA1D89" w:rsidRPr="00513BB5" w:rsidRDefault="00BA1D89"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BA1D89" w:rsidRDefault="00BA1D89"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        </w:t>
      </w:r>
    </w:p>
    <w:p w:rsidR="00BA1D89" w:rsidRPr="00513BB5" w:rsidRDefault="00BA1D89"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7. Место поставки продукции:</w:t>
      </w:r>
    </w:p>
    <w:p w:rsidR="00BA1D89" w:rsidRPr="00BF5CEA" w:rsidRDefault="00BA1D89"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BA1D89" w:rsidRPr="00513BB5" w:rsidRDefault="00BA1D89"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BA1D89" w:rsidRDefault="00BA1D89" w:rsidP="008324D7">
      <w:pPr>
        <w:tabs>
          <w:tab w:val="left" w:pos="1134"/>
        </w:tabs>
        <w:jc w:val="both"/>
        <w:rPr>
          <w:rFonts w:ascii="Times New Roman" w:hAnsi="Times New Roman" w:cs="Times New Roman"/>
          <w:sz w:val="24"/>
          <w:szCs w:val="24"/>
          <w:lang w:val="ru-RU"/>
        </w:rPr>
      </w:pPr>
      <w:r>
        <w:rPr>
          <w:rFonts w:ascii="Times New Roman" w:hAnsi="Times New Roman" w:cs="Times New Roman"/>
          <w:sz w:val="24"/>
          <w:szCs w:val="24"/>
          <w:lang w:val="ru-RU"/>
        </w:rPr>
        <w:t>4 месяца со дня подписания договора.</w:t>
      </w:r>
      <w:r w:rsidRPr="00513BB5">
        <w:rPr>
          <w:rFonts w:ascii="Times New Roman" w:hAnsi="Times New Roman" w:cs="Times New Roman"/>
          <w:sz w:val="24"/>
          <w:szCs w:val="24"/>
          <w:lang w:val="ru-RU"/>
        </w:rPr>
        <w:t xml:space="preserve"> </w:t>
      </w:r>
    </w:p>
    <w:p w:rsidR="00BA1D89" w:rsidRDefault="00BA1D89" w:rsidP="008324D7">
      <w:pPr>
        <w:tabs>
          <w:tab w:val="left" w:pos="1134"/>
        </w:tabs>
        <w:jc w:val="both"/>
        <w:rPr>
          <w:rFonts w:ascii="Times New Roman" w:hAnsi="Times New Roman" w:cs="Times New Roman"/>
          <w:sz w:val="24"/>
          <w:szCs w:val="24"/>
          <w:lang w:val="ru-RU"/>
        </w:rPr>
      </w:pPr>
    </w:p>
    <w:p w:rsidR="00BA1D89" w:rsidRPr="005D6F83" w:rsidRDefault="00BA1D89" w:rsidP="008324D7">
      <w:pPr>
        <w:tabs>
          <w:tab w:val="left" w:pos="1134"/>
        </w:tabs>
        <w:jc w:val="both"/>
        <w:rPr>
          <w:rFonts w:ascii="Times New Roman" w:hAnsi="Times New Roman" w:cs="Times New Roman"/>
          <w:sz w:val="24"/>
          <w:szCs w:val="24"/>
          <w:lang w:val="ru-RU"/>
        </w:rPr>
      </w:pPr>
    </w:p>
    <w:p w:rsidR="00BA1D89" w:rsidRPr="003510F1" w:rsidRDefault="00BA1D89" w:rsidP="005D6F83">
      <w:pPr>
        <w:rPr>
          <w:rFonts w:ascii="Times New Roman" w:hAnsi="Times New Roman" w:cs="Times New Roman"/>
          <w:lang w:val="ru-RU"/>
        </w:rPr>
      </w:pPr>
      <w:r w:rsidRPr="003510F1">
        <w:rPr>
          <w:rFonts w:ascii="Times New Roman" w:hAnsi="Times New Roman" w:cs="Times New Roman"/>
          <w:lang w:val="ru-RU"/>
        </w:rPr>
        <w:t xml:space="preserve">Начальник </w:t>
      </w:r>
      <w:r>
        <w:rPr>
          <w:rFonts w:ascii="Times New Roman" w:hAnsi="Times New Roman" w:cs="Times New Roman"/>
          <w:lang w:val="ru-RU"/>
        </w:rPr>
        <w:t>группы ЭРИ                                                                                                   С.А. Каравцев</w:t>
      </w:r>
    </w:p>
    <w:p w:rsidR="00BA1D89" w:rsidRPr="003510F1" w:rsidRDefault="00BA1D89" w:rsidP="005D6F83">
      <w:pPr>
        <w:rPr>
          <w:rFonts w:ascii="Times New Roman" w:hAnsi="Times New Roman" w:cs="Times New Roman"/>
          <w:lang w:val="ru-RU"/>
        </w:rPr>
      </w:pPr>
    </w:p>
    <w:p w:rsidR="00BA1D89" w:rsidRPr="003510F1" w:rsidRDefault="00BA1D89" w:rsidP="005D6F83">
      <w:pPr>
        <w:rPr>
          <w:rFonts w:ascii="Times New Roman" w:hAnsi="Times New Roman" w:cs="Times New Roman"/>
          <w:lang w:val="ru-RU"/>
        </w:rPr>
      </w:pPr>
      <w:r>
        <w:rPr>
          <w:rFonts w:ascii="Times New Roman" w:hAnsi="Times New Roman" w:cs="Times New Roman"/>
          <w:lang w:val="ru-RU"/>
        </w:rPr>
        <w:t xml:space="preserve">Исполнитель                                                                                                                      С. А. Чебунина </w:t>
      </w:r>
    </w:p>
    <w:p w:rsidR="00BA1D89" w:rsidRPr="005D6F83" w:rsidRDefault="00BA1D89" w:rsidP="006628F7">
      <w:pPr>
        <w:pStyle w:val="ListParagraph"/>
        <w:spacing w:after="0" w:line="240" w:lineRule="auto"/>
        <w:rPr>
          <w:rFonts w:ascii="Times New Roman" w:hAnsi="Times New Roman" w:cs="Times New Roman"/>
          <w:b/>
          <w:bCs/>
          <w:sz w:val="24"/>
          <w:szCs w:val="24"/>
          <w:lang w:val="ru-RU"/>
        </w:rPr>
      </w:pPr>
    </w:p>
    <w:sectPr w:rsidR="00BA1D89" w:rsidRPr="005D6F83" w:rsidSect="007E4FE4">
      <w:pgSz w:w="16840" w:h="11907" w:orient="landscape" w:code="9"/>
      <w:pgMar w:top="1134" w:right="720" w:bottom="1438"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D89" w:rsidRDefault="00BA1D89" w:rsidP="00892E5B">
      <w:pPr>
        <w:spacing w:after="0" w:line="240" w:lineRule="auto"/>
      </w:pPr>
      <w:r>
        <w:separator/>
      </w:r>
    </w:p>
  </w:endnote>
  <w:endnote w:type="continuationSeparator" w:id="0">
    <w:p w:rsidR="00BA1D89" w:rsidRDefault="00BA1D89"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D89" w:rsidRDefault="00BA1D89" w:rsidP="00892E5B">
      <w:pPr>
        <w:spacing w:after="0" w:line="240" w:lineRule="auto"/>
      </w:pPr>
      <w:r>
        <w:separator/>
      </w:r>
    </w:p>
  </w:footnote>
  <w:footnote w:type="continuationSeparator" w:id="0">
    <w:p w:rsidR="00BA1D89" w:rsidRDefault="00BA1D89"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342C"/>
    <w:rsid w:val="000163F0"/>
    <w:rsid w:val="0001659E"/>
    <w:rsid w:val="00021366"/>
    <w:rsid w:val="00024E60"/>
    <w:rsid w:val="00032415"/>
    <w:rsid w:val="00033E3B"/>
    <w:rsid w:val="00036212"/>
    <w:rsid w:val="000538C2"/>
    <w:rsid w:val="000608B7"/>
    <w:rsid w:val="00067C9C"/>
    <w:rsid w:val="00076303"/>
    <w:rsid w:val="00076BDB"/>
    <w:rsid w:val="00093207"/>
    <w:rsid w:val="00097CD8"/>
    <w:rsid w:val="000A294B"/>
    <w:rsid w:val="000B5D0E"/>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73D5A"/>
    <w:rsid w:val="0019091C"/>
    <w:rsid w:val="0019316F"/>
    <w:rsid w:val="001A1E14"/>
    <w:rsid w:val="001A3B61"/>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10F1"/>
    <w:rsid w:val="00353E9E"/>
    <w:rsid w:val="00357BB0"/>
    <w:rsid w:val="0036307C"/>
    <w:rsid w:val="00366000"/>
    <w:rsid w:val="003A345D"/>
    <w:rsid w:val="003A497D"/>
    <w:rsid w:val="003C4C9E"/>
    <w:rsid w:val="00407BD4"/>
    <w:rsid w:val="00414885"/>
    <w:rsid w:val="00421B47"/>
    <w:rsid w:val="00456510"/>
    <w:rsid w:val="00460D6E"/>
    <w:rsid w:val="00463DD0"/>
    <w:rsid w:val="00470222"/>
    <w:rsid w:val="004735B8"/>
    <w:rsid w:val="00480848"/>
    <w:rsid w:val="004821A3"/>
    <w:rsid w:val="0048375A"/>
    <w:rsid w:val="0048413B"/>
    <w:rsid w:val="004860E1"/>
    <w:rsid w:val="004878D8"/>
    <w:rsid w:val="00495A69"/>
    <w:rsid w:val="004B7F95"/>
    <w:rsid w:val="004C3736"/>
    <w:rsid w:val="004D0B1E"/>
    <w:rsid w:val="004D1245"/>
    <w:rsid w:val="004D5241"/>
    <w:rsid w:val="004D74C3"/>
    <w:rsid w:val="004E67E6"/>
    <w:rsid w:val="004E7CBD"/>
    <w:rsid w:val="005061F5"/>
    <w:rsid w:val="00513BB5"/>
    <w:rsid w:val="00517D99"/>
    <w:rsid w:val="0052087B"/>
    <w:rsid w:val="005220BC"/>
    <w:rsid w:val="005414E0"/>
    <w:rsid w:val="00565467"/>
    <w:rsid w:val="00572346"/>
    <w:rsid w:val="00572B93"/>
    <w:rsid w:val="00590F18"/>
    <w:rsid w:val="005948E5"/>
    <w:rsid w:val="00596684"/>
    <w:rsid w:val="005A0DD8"/>
    <w:rsid w:val="005A502D"/>
    <w:rsid w:val="005A651C"/>
    <w:rsid w:val="005A669A"/>
    <w:rsid w:val="005C6F9D"/>
    <w:rsid w:val="005D0828"/>
    <w:rsid w:val="005D6F83"/>
    <w:rsid w:val="005D7125"/>
    <w:rsid w:val="005E4DC6"/>
    <w:rsid w:val="005F6DE5"/>
    <w:rsid w:val="00601BDC"/>
    <w:rsid w:val="00614984"/>
    <w:rsid w:val="006244B8"/>
    <w:rsid w:val="006248D0"/>
    <w:rsid w:val="00634590"/>
    <w:rsid w:val="00651E0E"/>
    <w:rsid w:val="00654427"/>
    <w:rsid w:val="006628F7"/>
    <w:rsid w:val="00670800"/>
    <w:rsid w:val="00681EF6"/>
    <w:rsid w:val="00686BCC"/>
    <w:rsid w:val="00695B0C"/>
    <w:rsid w:val="006B001D"/>
    <w:rsid w:val="006B169D"/>
    <w:rsid w:val="006B42E9"/>
    <w:rsid w:val="006B5510"/>
    <w:rsid w:val="006C382D"/>
    <w:rsid w:val="006E72E0"/>
    <w:rsid w:val="006F5F2E"/>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619F"/>
    <w:rsid w:val="007D7D92"/>
    <w:rsid w:val="007E4FE4"/>
    <w:rsid w:val="00801673"/>
    <w:rsid w:val="00814DE9"/>
    <w:rsid w:val="00830A3A"/>
    <w:rsid w:val="008324D7"/>
    <w:rsid w:val="00840398"/>
    <w:rsid w:val="0084240A"/>
    <w:rsid w:val="00842960"/>
    <w:rsid w:val="00844377"/>
    <w:rsid w:val="00847F77"/>
    <w:rsid w:val="0085782F"/>
    <w:rsid w:val="0086172A"/>
    <w:rsid w:val="00871B2C"/>
    <w:rsid w:val="008768B7"/>
    <w:rsid w:val="00885D18"/>
    <w:rsid w:val="00891C13"/>
    <w:rsid w:val="00892E5B"/>
    <w:rsid w:val="00897C50"/>
    <w:rsid w:val="008B14F8"/>
    <w:rsid w:val="008B6BC8"/>
    <w:rsid w:val="008D71E5"/>
    <w:rsid w:val="008E1B37"/>
    <w:rsid w:val="008F5962"/>
    <w:rsid w:val="0090125A"/>
    <w:rsid w:val="009033FF"/>
    <w:rsid w:val="00906D90"/>
    <w:rsid w:val="009125B7"/>
    <w:rsid w:val="0091287E"/>
    <w:rsid w:val="0091454F"/>
    <w:rsid w:val="009228AC"/>
    <w:rsid w:val="00925078"/>
    <w:rsid w:val="00932B0C"/>
    <w:rsid w:val="00934B0F"/>
    <w:rsid w:val="00944876"/>
    <w:rsid w:val="00950702"/>
    <w:rsid w:val="00953532"/>
    <w:rsid w:val="0097336A"/>
    <w:rsid w:val="009A0896"/>
    <w:rsid w:val="009A0922"/>
    <w:rsid w:val="009B1DDE"/>
    <w:rsid w:val="009C131D"/>
    <w:rsid w:val="009C1696"/>
    <w:rsid w:val="009C2B51"/>
    <w:rsid w:val="009D0357"/>
    <w:rsid w:val="009D3AEA"/>
    <w:rsid w:val="009E753B"/>
    <w:rsid w:val="009F4C9A"/>
    <w:rsid w:val="00A05635"/>
    <w:rsid w:val="00A05FF6"/>
    <w:rsid w:val="00A0716F"/>
    <w:rsid w:val="00A176C1"/>
    <w:rsid w:val="00A31DD9"/>
    <w:rsid w:val="00A471B8"/>
    <w:rsid w:val="00A52735"/>
    <w:rsid w:val="00A53181"/>
    <w:rsid w:val="00A66D96"/>
    <w:rsid w:val="00A71049"/>
    <w:rsid w:val="00A74CDA"/>
    <w:rsid w:val="00A83821"/>
    <w:rsid w:val="00A871F0"/>
    <w:rsid w:val="00AA3AA9"/>
    <w:rsid w:val="00AA6752"/>
    <w:rsid w:val="00AC017E"/>
    <w:rsid w:val="00AE4C7B"/>
    <w:rsid w:val="00B01E59"/>
    <w:rsid w:val="00B062E2"/>
    <w:rsid w:val="00B16420"/>
    <w:rsid w:val="00B239CA"/>
    <w:rsid w:val="00B25F47"/>
    <w:rsid w:val="00B3261D"/>
    <w:rsid w:val="00B5738F"/>
    <w:rsid w:val="00B71236"/>
    <w:rsid w:val="00B767E4"/>
    <w:rsid w:val="00B77557"/>
    <w:rsid w:val="00B86016"/>
    <w:rsid w:val="00B941BE"/>
    <w:rsid w:val="00BA1D89"/>
    <w:rsid w:val="00BB5CE0"/>
    <w:rsid w:val="00BD7DD8"/>
    <w:rsid w:val="00BF5CEA"/>
    <w:rsid w:val="00BF7B35"/>
    <w:rsid w:val="00C15235"/>
    <w:rsid w:val="00C22231"/>
    <w:rsid w:val="00C23FA9"/>
    <w:rsid w:val="00C34676"/>
    <w:rsid w:val="00C403B0"/>
    <w:rsid w:val="00C57F85"/>
    <w:rsid w:val="00C64CCB"/>
    <w:rsid w:val="00C739F5"/>
    <w:rsid w:val="00C81071"/>
    <w:rsid w:val="00C86039"/>
    <w:rsid w:val="00CA4DCD"/>
    <w:rsid w:val="00CA7520"/>
    <w:rsid w:val="00CD721F"/>
    <w:rsid w:val="00CE6340"/>
    <w:rsid w:val="00CF074C"/>
    <w:rsid w:val="00CF1DD6"/>
    <w:rsid w:val="00D04F67"/>
    <w:rsid w:val="00D152E5"/>
    <w:rsid w:val="00D22197"/>
    <w:rsid w:val="00D41929"/>
    <w:rsid w:val="00D47B66"/>
    <w:rsid w:val="00D52077"/>
    <w:rsid w:val="00D52A1F"/>
    <w:rsid w:val="00D62E4D"/>
    <w:rsid w:val="00D6593A"/>
    <w:rsid w:val="00D65F77"/>
    <w:rsid w:val="00D735B6"/>
    <w:rsid w:val="00D737FF"/>
    <w:rsid w:val="00D87F38"/>
    <w:rsid w:val="00D9712B"/>
    <w:rsid w:val="00DD0850"/>
    <w:rsid w:val="00DE05F1"/>
    <w:rsid w:val="00DE32B8"/>
    <w:rsid w:val="00DE4C12"/>
    <w:rsid w:val="00DE5623"/>
    <w:rsid w:val="00DF0048"/>
    <w:rsid w:val="00E01473"/>
    <w:rsid w:val="00E077EC"/>
    <w:rsid w:val="00E10EA4"/>
    <w:rsid w:val="00E123BB"/>
    <w:rsid w:val="00E27A34"/>
    <w:rsid w:val="00E44C8B"/>
    <w:rsid w:val="00E63418"/>
    <w:rsid w:val="00E848D4"/>
    <w:rsid w:val="00E908C2"/>
    <w:rsid w:val="00E93EA6"/>
    <w:rsid w:val="00E961EF"/>
    <w:rsid w:val="00EC1C41"/>
    <w:rsid w:val="00EC5BD2"/>
    <w:rsid w:val="00EC6A69"/>
    <w:rsid w:val="00EC78E0"/>
    <w:rsid w:val="00EE0F4A"/>
    <w:rsid w:val="00EE59AE"/>
    <w:rsid w:val="00EF1290"/>
    <w:rsid w:val="00EF229D"/>
    <w:rsid w:val="00F05A4C"/>
    <w:rsid w:val="00F12B17"/>
    <w:rsid w:val="00F16220"/>
    <w:rsid w:val="00F244B8"/>
    <w:rsid w:val="00F301A9"/>
    <w:rsid w:val="00F424A0"/>
    <w:rsid w:val="00F432D8"/>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2051"/>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0">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paragraph" w:customStyle="1" w:styleId="21">
    <w:name w:val="Знак Знак2"/>
    <w:basedOn w:val="Normal"/>
    <w:uiPriority w:val="99"/>
    <w:rsid w:val="00B239CA"/>
    <w:pPr>
      <w:spacing w:before="100" w:beforeAutospacing="1" w:after="100" w:afterAutospacing="1" w:line="240" w:lineRule="auto"/>
    </w:pPr>
    <w:rPr>
      <w:rFonts w:ascii="Tahoma" w:hAnsi="Tahoma" w:cs="Tahoma"/>
      <w:sz w:val="20"/>
      <w:szCs w:val="20"/>
    </w:rPr>
  </w:style>
  <w:style w:type="character" w:customStyle="1" w:styleId="12">
    <w:name w:val="Заголовок №1_"/>
    <w:basedOn w:val="DefaultParagraphFont"/>
    <w:link w:val="13"/>
    <w:uiPriority w:val="99"/>
    <w:locked/>
    <w:rsid w:val="00830A3A"/>
    <w:rPr>
      <w:spacing w:val="-10"/>
      <w:sz w:val="28"/>
      <w:szCs w:val="28"/>
    </w:rPr>
  </w:style>
  <w:style w:type="character" w:customStyle="1" w:styleId="a5">
    <w:name w:val="Основной текст_"/>
    <w:basedOn w:val="DefaultParagraphFont"/>
    <w:uiPriority w:val="99"/>
    <w:rsid w:val="00830A3A"/>
    <w:rPr>
      <w:rFonts w:ascii="Times New Roman" w:hAnsi="Times New Roman" w:cs="Times New Roman"/>
      <w:spacing w:val="-10"/>
      <w:sz w:val="25"/>
      <w:szCs w:val="25"/>
      <w:u w:val="none"/>
    </w:rPr>
  </w:style>
  <w:style w:type="character" w:customStyle="1" w:styleId="a6">
    <w:name w:val="Основной текст + Курсив"/>
    <w:aliases w:val="Интервал 0 pt"/>
    <w:basedOn w:val="a5"/>
    <w:uiPriority w:val="99"/>
    <w:rsid w:val="00830A3A"/>
    <w:rPr>
      <w:i/>
      <w:iCs/>
      <w:spacing w:val="0"/>
    </w:rPr>
  </w:style>
  <w:style w:type="character" w:customStyle="1" w:styleId="22">
    <w:name w:val="Основной текст (2)_"/>
    <w:basedOn w:val="DefaultParagraphFont"/>
    <w:link w:val="23"/>
    <w:uiPriority w:val="99"/>
    <w:locked/>
    <w:rsid w:val="00830A3A"/>
    <w:rPr>
      <w:spacing w:val="-10"/>
      <w:sz w:val="19"/>
      <w:szCs w:val="19"/>
    </w:rPr>
  </w:style>
  <w:style w:type="paragraph" w:customStyle="1" w:styleId="13">
    <w:name w:val="Заголовок №1"/>
    <w:basedOn w:val="Normal"/>
    <w:link w:val="12"/>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3">
    <w:name w:val="Основной текст (2)"/>
    <w:basedOn w:val="Normal"/>
    <w:link w:val="22"/>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7">
    <w:name w:val="Подпись к таблице_"/>
    <w:basedOn w:val="DefaultParagraphFont"/>
    <w:link w:val="14"/>
    <w:uiPriority w:val="99"/>
    <w:locked/>
    <w:rsid w:val="00830A3A"/>
    <w:rPr>
      <w:spacing w:val="-10"/>
      <w:sz w:val="25"/>
      <w:szCs w:val="25"/>
    </w:rPr>
  </w:style>
  <w:style w:type="character" w:customStyle="1" w:styleId="a8">
    <w:name w:val="Подпись к таблице"/>
    <w:basedOn w:val="a7"/>
    <w:uiPriority w:val="99"/>
    <w:rsid w:val="00830A3A"/>
    <w:rPr>
      <w:u w:val="single"/>
    </w:rPr>
  </w:style>
  <w:style w:type="paragraph" w:customStyle="1" w:styleId="14">
    <w:name w:val="Подпись к таблице1"/>
    <w:basedOn w:val="Normal"/>
    <w:link w:val="a7"/>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5"/>
    <w:uiPriority w:val="99"/>
    <w:rsid w:val="008324D7"/>
    <w:rPr>
      <w:sz w:val="16"/>
      <w:szCs w:val="16"/>
    </w:rPr>
  </w:style>
  <w:style w:type="character" w:customStyle="1" w:styleId="8pt1">
    <w:name w:val="Основной текст + 8 pt1"/>
    <w:aliases w:val="Полужирный1"/>
    <w:basedOn w:val="a5"/>
    <w:uiPriority w:val="99"/>
    <w:rsid w:val="008324D7"/>
    <w:rPr>
      <w:b/>
      <w:bCs/>
      <w:sz w:val="16"/>
      <w:szCs w:val="16"/>
    </w:rPr>
  </w:style>
  <w:style w:type="paragraph" w:customStyle="1" w:styleId="210">
    <w:name w:val="Знак Знак21"/>
    <w:basedOn w:val="Normal"/>
    <w:uiPriority w:val="99"/>
    <w:rsid w:val="008768B7"/>
    <w:pPr>
      <w:spacing w:before="100" w:beforeAutospacing="1" w:after="100" w:afterAutospacing="1" w:line="240" w:lineRule="auto"/>
    </w:pPr>
    <w:rPr>
      <w:rFonts w:ascii="Tahoma" w:hAnsi="Tahoma" w:cs="Tahoma"/>
      <w:sz w:val="20"/>
      <w:szCs w:val="20"/>
    </w:rPr>
  </w:style>
  <w:style w:type="numbering" w:customStyle="1" w:styleId="1">
    <w:name w:val="Стиль1"/>
    <w:rsid w:val="009B568D"/>
    <w:pPr>
      <w:numPr>
        <w:numId w:val="2"/>
      </w:numPr>
    </w:pPr>
  </w:style>
</w:styles>
</file>

<file path=word/webSettings.xml><?xml version="1.0" encoding="utf-8"?>
<w:webSettings xmlns:r="http://schemas.openxmlformats.org/officeDocument/2006/relationships" xmlns:w="http://schemas.openxmlformats.org/wordprocessingml/2006/main">
  <w:divs>
    <w:div w:id="339429778">
      <w:marLeft w:val="0"/>
      <w:marRight w:val="0"/>
      <w:marTop w:val="0"/>
      <w:marBottom w:val="0"/>
      <w:divBdr>
        <w:top w:val="none" w:sz="0" w:space="0" w:color="auto"/>
        <w:left w:val="none" w:sz="0" w:space="0" w:color="auto"/>
        <w:bottom w:val="none" w:sz="0" w:space="0" w:color="auto"/>
        <w:right w:val="none" w:sz="0" w:space="0" w:color="auto"/>
      </w:divBdr>
    </w:div>
    <w:div w:id="339429779">
      <w:marLeft w:val="0"/>
      <w:marRight w:val="0"/>
      <w:marTop w:val="0"/>
      <w:marBottom w:val="0"/>
      <w:divBdr>
        <w:top w:val="none" w:sz="0" w:space="0" w:color="auto"/>
        <w:left w:val="none" w:sz="0" w:space="0" w:color="auto"/>
        <w:bottom w:val="none" w:sz="0" w:space="0" w:color="auto"/>
        <w:right w:val="none" w:sz="0" w:space="0" w:color="auto"/>
      </w:divBdr>
    </w:div>
    <w:div w:id="3394297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1597</Words>
  <Characters>9107</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yakimova</cp:lastModifiedBy>
  <cp:revision>6</cp:revision>
  <cp:lastPrinted>2014-03-12T11:27:00Z</cp:lastPrinted>
  <dcterms:created xsi:type="dcterms:W3CDTF">2014-03-11T06:51:00Z</dcterms:created>
  <dcterms:modified xsi:type="dcterms:W3CDTF">2014-03-12T12:15:00Z</dcterms:modified>
</cp:coreProperties>
</file>