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93FDC">
      <w:pPr>
        <w:pStyle w:val="1"/>
        <w:spacing w:before="0" w:beforeAutospacing="0" w:after="6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рассмотрения заявок на участие в процедуре реализации в электронной форме №AS03297 «Открытый процедура реализации на Право заключения договора на покупку объекта незавершенного строительства (под снос)»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32"/>
        <w:gridCol w:w="9790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93FDC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93FD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17.03.2022 г.</w:t>
            </w:r>
          </w:p>
        </w:tc>
      </w:tr>
    </w:tbl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 xml:space="preserve">Оператор электронной торговой площадки «www.a-k-d.ru»: ООО «АКД» Место проведения процедуры реализации: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Уникальный номер процедуры реализации на указанном сайте: AS03297. </w:t>
      </w:r>
    </w:p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Организатор: АО «Концерн Ро</w:t>
      </w:r>
      <w:r>
        <w:rPr>
          <w:rFonts w:eastAsia="Times New Roman"/>
        </w:rPr>
        <w:t>сэнергоатом» (109507, Россия, Москва, город Москва, Ферганская, 25, ОКАТО 45290554000).</w:t>
      </w:r>
    </w:p>
    <w:p w:rsidR="00000000" w:rsidRDefault="00C93FDC">
      <w:pPr>
        <w:tabs>
          <w:tab w:val="left" w:pos="993"/>
        </w:tabs>
        <w:ind w:firstLine="567"/>
        <w:jc w:val="both"/>
        <w:rPr>
          <w:rFonts w:eastAsia="Times New Roman"/>
        </w:rPr>
      </w:pPr>
      <w:r>
        <w:rPr>
          <w:rFonts w:eastAsia="Times New Roman"/>
        </w:rPr>
        <w:t>Организатор процедуры: филиал АО «Концерн Росэнергоатом» «Нововоронежская атомная станция» (396071, Воронежская обл., г. Нововоронеж, промышленная зона Южная, 1).</w:t>
      </w:r>
    </w:p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Наиме</w:t>
      </w:r>
      <w:r>
        <w:rPr>
          <w:rFonts w:eastAsia="Times New Roman"/>
        </w:rPr>
        <w:t>нование процедуры реализации: «Открытый процедура реализации на Право заключения договора на покупку объекта незавершенного строительства (под снос)». Объект – «</w:t>
      </w:r>
      <w:r>
        <w:rPr>
          <w:rStyle w:val="a7"/>
          <w:rFonts w:eastAsia="Times New Roman"/>
          <w:color w:val="auto"/>
        </w:rPr>
        <w:t>объект незавершенного строительства</w:t>
      </w:r>
      <w:r>
        <w:rPr>
          <w:rStyle w:val="a7"/>
          <w:rFonts w:eastAsia="Times New Roman"/>
          <w:b/>
          <w:color w:val="auto"/>
        </w:rPr>
        <w:t xml:space="preserve"> </w:t>
      </w:r>
      <w:r>
        <w:t>«Склад цемента на 4000т»</w:t>
      </w:r>
      <w:r>
        <w:rPr>
          <w:rFonts w:eastAsia="Times New Roman"/>
        </w:rPr>
        <w:t>.</w:t>
      </w:r>
    </w:p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Начальная (максимальная) цена дог</w:t>
      </w:r>
      <w:r>
        <w:rPr>
          <w:rFonts w:eastAsia="Times New Roman"/>
        </w:rPr>
        <w:t>овора составляет: 115 115 760.00 российских рублей (сто пятнадцать миллионов сто пятнадцать тысяч семьсот шестьдесят рублей 00 копеек) включая НДС 20%.</w:t>
      </w:r>
    </w:p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процедуры реализации было размещено на сайте </w:t>
      </w:r>
      <w:r>
        <w:rPr>
          <w:rFonts w:eastAsia="Times New Roman"/>
        </w:rPr>
        <w:br/>
        <w:t>http://www.a-k-d.ru в сети интернет</w:t>
      </w:r>
      <w:r>
        <w:rPr>
          <w:rFonts w:eastAsia="Times New Roman"/>
        </w:rPr>
        <w:t xml:space="preserve"> 14.02.2022 г. </w:t>
      </w:r>
    </w:p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процедуре реализации 17.03.2022 г., 09:00 поступила 1 заявка на участие в процедуре реализации через сайт в сети Интернет http://www.a-k-d.ru от участника процедуры закупк</w:t>
      </w:r>
      <w:r>
        <w:rPr>
          <w:rFonts w:eastAsia="Times New Roman"/>
        </w:rPr>
        <w:t>и:</w:t>
      </w:r>
    </w:p>
    <w:tbl>
      <w:tblPr>
        <w:tblW w:w="0" w:type="auto"/>
        <w:tblCellSpacing w:w="15" w:type="dxa"/>
        <w:tblInd w:w="-8" w:type="dxa"/>
        <w:tblLook w:val="04A0" w:firstRow="1" w:lastRow="0" w:firstColumn="1" w:lastColumn="0" w:noHBand="0" w:noVBand="1"/>
      </w:tblPr>
      <w:tblGrid>
        <w:gridCol w:w="469"/>
        <w:gridCol w:w="2939"/>
        <w:gridCol w:w="2265"/>
        <w:gridCol w:w="1882"/>
        <w:gridCol w:w="2359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93FDC">
            <w:pPr>
              <w:tabs>
                <w:tab w:val="num" w:pos="851"/>
                <w:tab w:val="left" w:pos="993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29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93FDC">
            <w:pPr>
              <w:tabs>
                <w:tab w:val="num" w:pos="851"/>
                <w:tab w:val="left" w:pos="993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93FDC">
            <w:pPr>
              <w:tabs>
                <w:tab w:val="num" w:pos="851"/>
                <w:tab w:val="left" w:pos="993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93FDC">
            <w:pPr>
              <w:tabs>
                <w:tab w:val="num" w:pos="851"/>
                <w:tab w:val="left" w:pos="993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про</w:t>
            </w:r>
            <w:r>
              <w:rPr>
                <w:rFonts w:eastAsia="Times New Roman"/>
                <w:b/>
                <w:bCs/>
              </w:rPr>
              <w:t>цедуре реализации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93FDC">
            <w:pPr>
              <w:tabs>
                <w:tab w:val="num" w:pos="851"/>
                <w:tab w:val="left" w:pos="993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проце</w:t>
            </w:r>
            <w:proofErr w:type="spellEnd"/>
            <w:r>
              <w:rPr>
                <w:rFonts w:eastAsia="Times New Roman"/>
                <w:b/>
                <w:bCs/>
              </w:rPr>
              <w:t>-дуре</w:t>
            </w:r>
            <w:proofErr w:type="gramEnd"/>
            <w:r>
              <w:rPr>
                <w:rFonts w:eastAsia="Times New Roman"/>
                <w:b/>
                <w:bCs/>
              </w:rPr>
              <w:t xml:space="preserve"> реализации, поданной </w:t>
            </w:r>
            <w:proofErr w:type="spellStart"/>
            <w:r>
              <w:rPr>
                <w:rFonts w:eastAsia="Times New Roman"/>
                <w:b/>
                <w:bCs/>
              </w:rPr>
              <w:t>участни</w:t>
            </w:r>
            <w:proofErr w:type="spellEnd"/>
            <w:r>
              <w:rPr>
                <w:rFonts w:eastAsia="Times New Roman"/>
                <w:b/>
                <w:bCs/>
              </w:rPr>
              <w:t>-ком процедуры закупки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93FDC">
            <w:pPr>
              <w:tabs>
                <w:tab w:val="num" w:pos="851"/>
                <w:tab w:val="left" w:pos="993"/>
              </w:tabs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93FDC">
            <w:pPr>
              <w:tabs>
                <w:tab w:val="num" w:pos="851"/>
                <w:tab w:val="left" w:pos="993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gramStart"/>
            <w:r>
              <w:rPr>
                <w:rFonts w:eastAsia="Times New Roman"/>
              </w:rPr>
              <w:t>ТРАНСИНВЕСТСТРОЙ»</w:t>
            </w:r>
            <w:r>
              <w:rPr>
                <w:rFonts w:eastAsia="Times New Roman"/>
              </w:rPr>
              <w:br/>
              <w:t>ИНН</w:t>
            </w:r>
            <w:proofErr w:type="gramEnd"/>
            <w:r>
              <w:rPr>
                <w:rFonts w:eastAsia="Times New Roman"/>
              </w:rPr>
              <w:t> 3662284984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93FDC">
            <w:pPr>
              <w:tabs>
                <w:tab w:val="num" w:pos="851"/>
                <w:tab w:val="left" w:pos="993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394048, Россия, Воронежская </w:t>
            </w:r>
            <w:r>
              <w:rPr>
                <w:rFonts w:eastAsia="Times New Roman"/>
              </w:rPr>
              <w:t>область, Воронеж, Междуреченская, д. 1В, кв. 21, ОКАТО 20401000000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93FDC">
            <w:pPr>
              <w:tabs>
                <w:tab w:val="num" w:pos="851"/>
                <w:tab w:val="left" w:pos="993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16 марта 2022 г. 16:15:20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93FDC">
            <w:pPr>
              <w:tabs>
                <w:tab w:val="num" w:pos="851"/>
                <w:tab w:val="left" w:pos="993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</w:tbl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Аукцион признается несостоявшимся на основании п. 3.2.5 Документации о проведении аукциона на понижение.</w:t>
      </w:r>
    </w:p>
    <w:p w:rsidR="00000000" w:rsidRDefault="00C93FDC">
      <w:pPr>
        <w:widowControl w:val="0"/>
        <w:numPr>
          <w:ilvl w:val="0"/>
          <w:numId w:val="2"/>
        </w:numPr>
        <w:tabs>
          <w:tab w:val="clear" w:pos="720"/>
          <w:tab w:val="left" w:pos="851"/>
          <w:tab w:val="left" w:pos="1134"/>
        </w:tabs>
        <w:autoSpaceDE w:val="0"/>
        <w:autoSpaceDN w:val="0"/>
        <w:adjustRightInd w:val="0"/>
        <w:ind w:left="0" w:firstLine="556"/>
        <w:jc w:val="both"/>
      </w:pPr>
      <w:r>
        <w:t xml:space="preserve">Состав комиссии. </w:t>
      </w:r>
    </w:p>
    <w:p w:rsidR="00000000" w:rsidRDefault="00C93FDC">
      <w:pPr>
        <w:widowControl w:val="0"/>
        <w:tabs>
          <w:tab w:val="num" w:pos="426"/>
          <w:tab w:val="left" w:pos="851"/>
          <w:tab w:val="num" w:pos="993"/>
          <w:tab w:val="left" w:pos="1134"/>
        </w:tabs>
        <w:autoSpaceDE w:val="0"/>
        <w:autoSpaceDN w:val="0"/>
        <w:adjustRightInd w:val="0"/>
        <w:ind w:firstLine="556"/>
        <w:jc w:val="both"/>
      </w:pPr>
      <w:r>
        <w:t>На заседании комиссии (</w:t>
      </w:r>
      <w:r>
        <w:rPr>
          <w:bCs/>
        </w:rPr>
        <w:t>Коми</w:t>
      </w:r>
      <w:r>
        <w:rPr>
          <w:bCs/>
        </w:rPr>
        <w:t>ссия по реализации непрофильного имущества НВАЭС</w:t>
      </w:r>
      <w:r>
        <w:t>), при рассмотрении заявок присутствовали:</w:t>
      </w:r>
    </w:p>
    <w:tbl>
      <w:tblPr>
        <w:tblW w:w="5064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226"/>
        <w:gridCol w:w="3729"/>
        <w:gridCol w:w="2516"/>
        <w:gridCol w:w="1568"/>
      </w:tblGrid>
      <w:tr w:rsidR="00000000"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jc w:val="center"/>
            </w:pPr>
            <w:r>
              <w:rPr>
                <w:rFonts w:eastAsia="Times New Roman"/>
                <w:b/>
                <w:bCs/>
              </w:rPr>
              <w:t>Роль</w:t>
            </w:r>
          </w:p>
        </w:tc>
        <w:tc>
          <w:tcPr>
            <w:tcW w:w="1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jc w:val="center"/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jc w:val="center"/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jc w:val="center"/>
            </w:pPr>
            <w:r>
              <w:rPr>
                <w:rFonts w:eastAsia="Times New Roman"/>
                <w:b/>
                <w:bCs/>
              </w:rPr>
              <w:t>Организация</w:t>
            </w:r>
          </w:p>
        </w:tc>
      </w:tr>
      <w:tr w:rsidR="00000000" w:rsidTr="00524C71"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1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93FDC">
            <w:pPr>
              <w:tabs>
                <w:tab w:val="num" w:pos="993"/>
              </w:tabs>
              <w:ind w:firstLine="41"/>
              <w:jc w:val="both"/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93FDC">
            <w:pPr>
              <w:tabs>
                <w:tab w:val="num" w:pos="993"/>
              </w:tabs>
              <w:jc w:val="center"/>
              <w:rPr>
                <w:rFonts w:eastAsia="Times New Roman"/>
              </w:rPr>
            </w:pP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ind w:firstLine="4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НВАЭС</w:t>
            </w:r>
          </w:p>
        </w:tc>
      </w:tr>
      <w:tr w:rsidR="00000000" w:rsidTr="00524C71"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1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93FDC">
            <w:pPr>
              <w:tabs>
                <w:tab w:val="num" w:pos="993"/>
              </w:tabs>
              <w:ind w:firstLine="41"/>
              <w:jc w:val="both"/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93FDC">
            <w:pPr>
              <w:tabs>
                <w:tab w:val="num" w:pos="993"/>
              </w:tabs>
              <w:jc w:val="center"/>
              <w:rPr>
                <w:rFonts w:eastAsia="Times New Roman"/>
              </w:rPr>
            </w:pP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ind w:firstLine="4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НВАЭС</w:t>
            </w:r>
          </w:p>
        </w:tc>
      </w:tr>
      <w:tr w:rsidR="00000000" w:rsidTr="00524C71"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93FDC">
            <w:pPr>
              <w:tabs>
                <w:tab w:val="num" w:pos="993"/>
              </w:tabs>
              <w:ind w:firstLine="41"/>
              <w:jc w:val="both"/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93FDC">
            <w:pPr>
              <w:tabs>
                <w:tab w:val="num" w:pos="993"/>
              </w:tabs>
              <w:jc w:val="center"/>
              <w:rPr>
                <w:rFonts w:eastAsia="Times New Roman"/>
              </w:rPr>
            </w:pP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ind w:firstLine="4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НВАЭС</w:t>
            </w:r>
          </w:p>
        </w:tc>
      </w:tr>
      <w:tr w:rsidR="00000000" w:rsidTr="00524C71"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93FDC">
            <w:pPr>
              <w:tabs>
                <w:tab w:val="num" w:pos="993"/>
              </w:tabs>
              <w:ind w:firstLine="41"/>
              <w:jc w:val="both"/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93FDC">
            <w:pPr>
              <w:tabs>
                <w:tab w:val="num" w:pos="993"/>
              </w:tabs>
              <w:jc w:val="center"/>
              <w:rPr>
                <w:rFonts w:eastAsia="Times New Roman"/>
              </w:rPr>
            </w:pP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ind w:firstLine="4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НВАЭС</w:t>
            </w:r>
          </w:p>
        </w:tc>
      </w:tr>
      <w:tr w:rsidR="00000000" w:rsidTr="00524C71"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93FDC">
            <w:pPr>
              <w:tabs>
                <w:tab w:val="num" w:pos="993"/>
              </w:tabs>
              <w:ind w:firstLine="41"/>
              <w:jc w:val="both"/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93FDC">
            <w:pPr>
              <w:tabs>
                <w:tab w:val="num" w:pos="993"/>
              </w:tabs>
              <w:jc w:val="center"/>
              <w:rPr>
                <w:rFonts w:eastAsia="Times New Roman"/>
              </w:rPr>
            </w:pP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ind w:firstLine="4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НВАЭС</w:t>
            </w:r>
          </w:p>
        </w:tc>
      </w:tr>
      <w:tr w:rsidR="00000000" w:rsidTr="00524C71"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lastRenderedPageBreak/>
              <w:t>Секретарь комиссии (без права голоса)</w:t>
            </w:r>
          </w:p>
        </w:tc>
        <w:tc>
          <w:tcPr>
            <w:tcW w:w="1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93FDC">
            <w:pPr>
              <w:tabs>
                <w:tab w:val="num" w:pos="993"/>
              </w:tabs>
              <w:ind w:firstLine="41"/>
              <w:jc w:val="both"/>
            </w:pPr>
          </w:p>
        </w:tc>
        <w:tc>
          <w:tcPr>
            <w:tcW w:w="1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93FDC">
            <w:pPr>
              <w:tabs>
                <w:tab w:val="num" w:pos="993"/>
              </w:tabs>
              <w:jc w:val="center"/>
              <w:rPr>
                <w:rFonts w:eastAsia="Times New Roman"/>
              </w:rPr>
            </w:pP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ind w:firstLine="4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НВАЭС</w:t>
            </w:r>
          </w:p>
        </w:tc>
      </w:tr>
    </w:tbl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Комиссия рассмотрела единственную заявку на участие в процедуре реализации на соответствие требованиям, предусмотренным документацией о процедуре реализации, и п</w:t>
      </w:r>
      <w:r>
        <w:rPr>
          <w:rFonts w:eastAsia="Times New Roman"/>
        </w:rPr>
        <w:t xml:space="preserve">риняла решение: - единственная поданная заявка на участие в процедуре реализации от Общество с ограниченной ответственностью «ТРАНСИНВЕСТСТРОЙ» соответствует требованиям, предусмотренным документацией о процедуре реализации. </w:t>
      </w:r>
    </w:p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п. 4.1.10 </w:t>
      </w:r>
      <w:r>
        <w:rPr>
          <w:rFonts w:eastAsia="Times New Roman"/>
        </w:rPr>
        <w:t xml:space="preserve">Документации о проведении аукциона на понижение </w:t>
      </w:r>
      <w:r>
        <w:t>Собственник Имущества вправе принять решение</w:t>
      </w:r>
      <w:r>
        <w:rPr>
          <w:rFonts w:eastAsia="Times New Roman"/>
        </w:rPr>
        <w:t xml:space="preserve"> заключить договор с Общество с ограниченной ответственностью «ТРАНСИНВЕСТСТРОЙ», </w:t>
      </w:r>
      <w:r>
        <w:t>единственным, допущенным к участию в аукционе, участником, подавшим заявку на учас</w:t>
      </w:r>
      <w:r>
        <w:t>тие в аукционе,</w:t>
      </w:r>
      <w:r>
        <w:rPr>
          <w:rFonts w:eastAsia="Times New Roman"/>
        </w:rPr>
        <w:t xml:space="preserve"> на условиях, предусмотренных документацией о процедуре реализации и </w:t>
      </w:r>
      <w:r>
        <w:t>по цене не ниже цены отсечения (минимальной цены), указанной в извещении.</w:t>
      </w:r>
    </w:p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t>Цена договора: 7 240 200,00 руб. (семь миллионов двести сорок тысяч двести рублей 00 копеек), в то</w:t>
      </w:r>
      <w:r>
        <w:t>м числе НДС 20% - 1 206 700,00 руб. (один миллион двести шесть тысяч семьсот рублей 00 копеек).</w:t>
      </w:r>
    </w:p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t xml:space="preserve"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</w:t>
      </w:r>
      <w:r>
        <w:t xml:space="preserve">уклонении или отказе </w:t>
      </w:r>
      <w:r>
        <w:rPr>
          <w:rFonts w:eastAsia="Times New Roman"/>
        </w:rPr>
        <w:t xml:space="preserve">Общества с ограниченной ответственностью «ТРАНСИНВЕСТСТРОЙ», </w:t>
      </w:r>
      <w:r>
        <w:t>единственным, допущенным к участию в аукционе, участником, подавшим заявку на участие в аукционе, от заключения в установленный срок договора он утрачивает право на заключени</w:t>
      </w:r>
      <w:r>
        <w:t xml:space="preserve">е указанного договора. При этом задаток </w:t>
      </w:r>
      <w:r>
        <w:rPr>
          <w:rFonts w:eastAsia="Times New Roman"/>
        </w:rPr>
        <w:t>Общества с ограниченной ответственностью «ТРАНСИНВЕСТСТРОЙ»</w:t>
      </w:r>
      <w:r>
        <w:t xml:space="preserve"> не возвращается</w:t>
      </w:r>
      <w:r>
        <w:rPr>
          <w:color w:val="000000"/>
        </w:rPr>
        <w:t>.</w:t>
      </w:r>
    </w:p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t>Договор купли-продажи подписывается в течение 20 (двадцати</w:t>
      </w:r>
      <w:r>
        <w:rPr>
          <w:bCs/>
        </w:rPr>
        <w:t xml:space="preserve">) рабочих </w:t>
      </w:r>
      <w:r>
        <w:t>дней, но не ранее 10 (десяти) календарных дней со дня опубликования нас</w:t>
      </w:r>
      <w:r>
        <w:t>тоящего протокола.</w:t>
      </w:r>
    </w:p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процедуре реализации составляется в двух экземплярах, один из которых остается у Организатора. Организатор вправе передать единственному участнику процедуры закупки один экземпляр протокола и про</w:t>
      </w:r>
      <w:r>
        <w:rPr>
          <w:rFonts w:eastAsia="Times New Roman"/>
        </w:rPr>
        <w:t xml:space="preserve">ект договора. </w:t>
      </w:r>
    </w:p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C93FDC">
      <w:pPr>
        <w:numPr>
          <w:ilvl w:val="0"/>
          <w:numId w:val="2"/>
        </w:numPr>
        <w:tabs>
          <w:tab w:val="clear" w:pos="720"/>
          <w:tab w:val="num" w:pos="851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5000" w:type="pct"/>
        <w:tblInd w:w="-5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093"/>
        <w:gridCol w:w="2812"/>
        <w:gridCol w:w="4017"/>
      </w:tblGrid>
      <w:tr w:rsidR="00000000" w:rsidTr="00524C71">
        <w:tc>
          <w:tcPr>
            <w:tcW w:w="3094" w:type="dxa"/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2812" w:type="dxa"/>
            <w:vAlign w:val="center"/>
            <w:hideMark/>
          </w:tcPr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000000" w:rsidRDefault="00C93FDC">
            <w:pPr>
              <w:tabs>
                <w:tab w:val="num" w:pos="993"/>
              </w:tabs>
              <w:ind w:firstLine="18"/>
              <w:jc w:val="both"/>
            </w:pPr>
            <w:bookmarkStart w:id="0" w:name="_GoBack"/>
            <w:bookmarkEnd w:id="0"/>
          </w:p>
        </w:tc>
      </w:tr>
      <w:tr w:rsidR="00000000">
        <w:tc>
          <w:tcPr>
            <w:tcW w:w="3094" w:type="dxa"/>
            <w:vAlign w:val="center"/>
          </w:tcPr>
          <w:p w:rsidR="00000000" w:rsidRDefault="00C93FDC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2812" w:type="dxa"/>
            <w:vAlign w:val="center"/>
          </w:tcPr>
          <w:p w:rsidR="00000000" w:rsidRDefault="00C93FDC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000000" w:rsidRDefault="00C93FDC">
            <w:pPr>
              <w:tabs>
                <w:tab w:val="num" w:pos="993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000000" w:rsidRDefault="00C93FDC">
            <w:pPr>
              <w:tabs>
                <w:tab w:val="num" w:pos="993"/>
              </w:tabs>
              <w:ind w:firstLine="18"/>
              <w:jc w:val="both"/>
            </w:pPr>
          </w:p>
        </w:tc>
      </w:tr>
      <w:tr w:rsidR="00000000">
        <w:tc>
          <w:tcPr>
            <w:tcW w:w="3094" w:type="dxa"/>
            <w:vAlign w:val="center"/>
          </w:tcPr>
          <w:p w:rsidR="00000000" w:rsidRDefault="00C93FDC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2812" w:type="dxa"/>
            <w:vAlign w:val="center"/>
          </w:tcPr>
          <w:p w:rsidR="00000000" w:rsidRDefault="00C93FDC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000000" w:rsidRDefault="00C93FDC">
            <w:pPr>
              <w:tabs>
                <w:tab w:val="num" w:pos="993"/>
              </w:tabs>
              <w:ind w:firstLine="18"/>
              <w:jc w:val="both"/>
            </w:pPr>
          </w:p>
        </w:tc>
      </w:tr>
      <w:tr w:rsidR="00000000">
        <w:tc>
          <w:tcPr>
            <w:tcW w:w="3094" w:type="dxa"/>
            <w:vAlign w:val="center"/>
          </w:tcPr>
          <w:p w:rsidR="00000000" w:rsidRDefault="00C93FDC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2812" w:type="dxa"/>
            <w:vAlign w:val="center"/>
          </w:tcPr>
          <w:p w:rsidR="00000000" w:rsidRDefault="00C93FDC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000000" w:rsidRDefault="00C93FDC">
            <w:pPr>
              <w:tabs>
                <w:tab w:val="num" w:pos="993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000000" w:rsidRDefault="00C93FDC">
            <w:pPr>
              <w:tabs>
                <w:tab w:val="num" w:pos="993"/>
              </w:tabs>
              <w:ind w:firstLine="18"/>
              <w:jc w:val="both"/>
            </w:pPr>
          </w:p>
        </w:tc>
      </w:tr>
      <w:tr w:rsidR="00000000">
        <w:tc>
          <w:tcPr>
            <w:tcW w:w="3094" w:type="dxa"/>
            <w:vAlign w:val="center"/>
          </w:tcPr>
          <w:p w:rsidR="00000000" w:rsidRDefault="00C93FDC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2812" w:type="dxa"/>
            <w:vAlign w:val="center"/>
          </w:tcPr>
          <w:p w:rsidR="00000000" w:rsidRDefault="00C93FDC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000000" w:rsidRDefault="00C93FDC">
            <w:pPr>
              <w:tabs>
                <w:tab w:val="num" w:pos="993"/>
              </w:tabs>
              <w:ind w:firstLine="18"/>
              <w:jc w:val="both"/>
            </w:pPr>
          </w:p>
        </w:tc>
      </w:tr>
      <w:tr w:rsidR="00000000">
        <w:tc>
          <w:tcPr>
            <w:tcW w:w="3094" w:type="dxa"/>
            <w:vAlign w:val="center"/>
          </w:tcPr>
          <w:p w:rsidR="00000000" w:rsidRDefault="00C93FDC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Секретарь комиссии</w:t>
            </w:r>
          </w:p>
        </w:tc>
        <w:tc>
          <w:tcPr>
            <w:tcW w:w="2812" w:type="dxa"/>
            <w:vAlign w:val="center"/>
          </w:tcPr>
          <w:p w:rsidR="00000000" w:rsidRDefault="00C93FDC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000000" w:rsidRDefault="00C93FDC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000000" w:rsidRDefault="00C93FDC">
            <w:pPr>
              <w:tabs>
                <w:tab w:val="num" w:pos="993"/>
              </w:tabs>
              <w:ind w:firstLine="18"/>
              <w:jc w:val="both"/>
            </w:pPr>
          </w:p>
        </w:tc>
      </w:tr>
    </w:tbl>
    <w:p w:rsidR="00C93FDC" w:rsidRDefault="00C93FDC">
      <w:pPr>
        <w:tabs>
          <w:tab w:val="num" w:pos="851"/>
          <w:tab w:val="left" w:pos="993"/>
        </w:tabs>
        <w:ind w:firstLine="567"/>
        <w:jc w:val="both"/>
        <w:rPr>
          <w:rFonts w:eastAsia="Times New Roman"/>
        </w:rPr>
      </w:pPr>
    </w:p>
    <w:sectPr w:rsidR="00C93FDC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A3047"/>
    <w:multiLevelType w:val="multilevel"/>
    <w:tmpl w:val="9B989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524C71"/>
    <w:rsid w:val="00524C71"/>
    <w:rsid w:val="00C9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2DAE05-6021-4C96-BA61-1B4E06AB5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character" w:styleId="a7">
    <w:name w:val="Placeholder Text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Рыков Евгений Александрович</dc:creator>
  <cp:keywords/>
  <dc:description/>
  <cp:lastModifiedBy>Рыков Евгений Александрович</cp:lastModifiedBy>
  <cp:revision>2</cp:revision>
  <cp:lastPrinted>2022-03-18T05:44:00Z</cp:lastPrinted>
  <dcterms:created xsi:type="dcterms:W3CDTF">2022-03-18T12:08:00Z</dcterms:created>
  <dcterms:modified xsi:type="dcterms:W3CDTF">2022-03-18T12:08:00Z</dcterms:modified>
</cp:coreProperties>
</file>