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5C4458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5C4458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632A8" w:rsidRPr="003632A8">
        <w:rPr>
          <w:b/>
          <w:bCs/>
          <w:i/>
        </w:rPr>
        <w:t>экспертизу расчетов и материалов, обосновывающих нормативы удельных расходов топлива на отпущенную тепловую и электрическую энергию ЗАО «СГК» на 2015 год и экспертизу нормативов создания запаса топлива ЗАО «СГК» на 2015 год</w:t>
      </w:r>
      <w:r w:rsidR="00D27C44" w:rsidRPr="00D27C44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3632A8" w:rsidRDefault="003632A8" w:rsidP="003632A8">
      <w:pPr>
        <w:jc w:val="center"/>
        <w:rPr>
          <w:i/>
          <w:color w:val="000000"/>
          <w:sz w:val="24"/>
          <w:szCs w:val="24"/>
        </w:rPr>
      </w:pPr>
      <w:r>
        <w:rPr>
          <w:color w:val="000000"/>
        </w:rPr>
        <w:lastRenderedPageBreak/>
        <w:t>Техническое задание</w:t>
      </w: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3632A8" w:rsidRDefault="003632A8" w:rsidP="003632A8">
      <w:pPr>
        <w:jc w:val="center"/>
        <w:rPr>
          <w:color w:val="000000"/>
        </w:rPr>
      </w:pP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3632A8" w:rsidRDefault="003632A8" w:rsidP="003632A8">
      <w:pPr>
        <w:jc w:val="center"/>
        <w:rPr>
          <w:color w:val="000000"/>
        </w:rPr>
      </w:pPr>
    </w:p>
    <w:p w:rsidR="003632A8" w:rsidRDefault="003632A8" w:rsidP="003632A8">
      <w:pPr>
        <w:rPr>
          <w:color w:val="000000"/>
        </w:rPr>
      </w:pP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2.1 Описание оказываемых услуг</w:t>
      </w:r>
    </w:p>
    <w:p w:rsidR="003632A8" w:rsidRDefault="003632A8" w:rsidP="003632A8">
      <w:pPr>
        <w:ind w:left="2552" w:hanging="1701"/>
        <w:rPr>
          <w:color w:val="000000"/>
        </w:rPr>
      </w:pPr>
      <w:r>
        <w:rPr>
          <w:color w:val="000000"/>
        </w:rPr>
        <w:t>Подраздел 2.2 Объем оказываемых услуг либо доля оказываемых услуг в общем объеме закупки</w:t>
      </w: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3632A8" w:rsidRDefault="003632A8" w:rsidP="003632A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632A8" w:rsidRDefault="003632A8" w:rsidP="003632A8">
      <w:pPr>
        <w:ind w:left="2694" w:hanging="1843"/>
        <w:rPr>
          <w:color w:val="000000"/>
        </w:rPr>
      </w:pPr>
      <w:r>
        <w:rPr>
          <w:color w:val="000000"/>
        </w:rPr>
        <w:t>Подраздел 3.6 Требования к составу технического предложения участника</w:t>
      </w: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3632A8" w:rsidRDefault="003632A8" w:rsidP="003632A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3632A8" w:rsidRDefault="003632A8" w:rsidP="003632A8">
      <w:pPr>
        <w:rPr>
          <w:color w:val="000000"/>
        </w:rPr>
      </w:pPr>
      <w:r>
        <w:rPr>
          <w:color w:val="000000"/>
        </w:rPr>
        <w:t>РАЗДЕЛ 6. ПЕРЕЧЕНЬ ПРИЛОЖЕНИЙ</w:t>
      </w:r>
    </w:p>
    <w:p w:rsidR="003632A8" w:rsidRDefault="003632A8" w:rsidP="003632A8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3632A8" w:rsidRDefault="003632A8" w:rsidP="003632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632A8" w:rsidTr="003632A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45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Экспертиза нормативов удельного расхода топлива и обоснования нормативов создания запаса топлива на 2015</w:t>
            </w:r>
          </w:p>
        </w:tc>
      </w:tr>
    </w:tbl>
    <w:p w:rsidR="003632A8" w:rsidRDefault="003632A8" w:rsidP="003632A8">
      <w:pPr>
        <w:jc w:val="center"/>
        <w:rPr>
          <w:color w:val="000000"/>
        </w:rPr>
      </w:pP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3632A8" w:rsidRDefault="003632A8" w:rsidP="003632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632A8" w:rsidTr="003632A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2.1 Описание оказываемых услуг</w:t>
            </w:r>
          </w:p>
        </w:tc>
      </w:tr>
      <w:tr w:rsidR="003632A8" w:rsidTr="003632A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459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Основное оборудование электростанции, для которого рассчитаны нормативы удельных расходов топлива и нормативные запасы топлива:</w:t>
            </w: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8"/>
              <w:gridCol w:w="3065"/>
              <w:gridCol w:w="1417"/>
              <w:gridCol w:w="4394"/>
            </w:tblGrid>
            <w:tr w:rsidR="003632A8"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№</w:t>
                  </w:r>
                </w:p>
              </w:tc>
              <w:tc>
                <w:tcPr>
                  <w:tcW w:w="3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Наименование основного оборудования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Тип, марка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Основные технические характеристики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3065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Котлы паровые станц. № 1-5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ТС-35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36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-435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°С,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- 35 т/ч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Котёл паровой станц. № 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ТП-170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100 кгс/ 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-510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°С,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- 170 т/ч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 xml:space="preserve">Котлы паровые станц. № 7,8                                    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БКЗ-160-100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100 кгс/ 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-540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°С,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- 160 т/ч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Котёл паровой станц. № 9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БКЗ-220-100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100 кгс/ 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-540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°С,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- 220 т/ч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Котлы водогрейные станц. №№ 1-3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ПТВМ-100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val="en-US" w:eastAsia="en-US"/>
                    </w:rPr>
                    <w:t xml:space="preserve">Q – 100 </w:t>
                  </w:r>
                  <w:r>
                    <w:rPr>
                      <w:sz w:val="22"/>
                      <w:szCs w:val="24"/>
                      <w:lang w:eastAsia="en-US"/>
                    </w:rPr>
                    <w:t>Гкал/ч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Паротурбинные установки станц. №№ 1-4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П-4-35/5 «Лаваль»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 xml:space="preserve">э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-4 МВт,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- 41 т/ч, 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35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 xml:space="preserve">2 </w:t>
                  </w:r>
                  <w:r>
                    <w:rPr>
                      <w:sz w:val="22"/>
                      <w:szCs w:val="24"/>
                      <w:lang w:eastAsia="en-US"/>
                    </w:rPr>
                    <w:t>, Р</w:t>
                  </w:r>
                  <w:r>
                    <w:rPr>
                      <w:sz w:val="22"/>
                      <w:lang w:eastAsia="en-US"/>
                    </w:rPr>
                    <w:t>отб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4,5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Паротурбинная установка станц. №6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ВПТ-25-4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 xml:space="preserve">э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-30 МВт,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- 240 т/ч, 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90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 xml:space="preserve">2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-535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°С, Р</w:t>
                  </w:r>
                  <w:r>
                    <w:rPr>
                      <w:sz w:val="22"/>
                      <w:lang w:eastAsia="en-US"/>
                    </w:rPr>
                    <w:t xml:space="preserve">отб 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10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>, 1,5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 </w:t>
                  </w:r>
                </w:p>
              </w:tc>
            </w:tr>
            <w:tr w:rsidR="003632A8">
              <w:tc>
                <w:tcPr>
                  <w:tcW w:w="50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Паротурбинная установка станц. №7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ПР-25-90/10/0,9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632A8" w:rsidRDefault="003632A8">
                  <w:pPr>
                    <w:spacing w:line="276" w:lineRule="auto"/>
                    <w:jc w:val="center"/>
                    <w:rPr>
                      <w:sz w:val="22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4"/>
                      <w:lang w:eastAsia="en-US"/>
                    </w:rPr>
                    <w:t>Р</w:t>
                  </w:r>
                  <w:r>
                    <w:rPr>
                      <w:sz w:val="22"/>
                      <w:lang w:eastAsia="en-US"/>
                    </w:rPr>
                    <w:t xml:space="preserve">э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-25 МВт,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D</w:t>
                  </w:r>
                  <w:r>
                    <w:rPr>
                      <w:sz w:val="22"/>
                      <w:szCs w:val="24"/>
                      <w:lang w:eastAsia="en-US"/>
                    </w:rPr>
                    <w:t>- 190 т/ч, Р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90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 xml:space="preserve">2 </w:t>
                  </w:r>
                  <w:r>
                    <w:rPr>
                      <w:sz w:val="22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2"/>
                      <w:szCs w:val="24"/>
                      <w:lang w:val="en-US" w:eastAsia="en-US"/>
                    </w:rPr>
                    <w:t>t</w:t>
                  </w:r>
                  <w:r>
                    <w:rPr>
                      <w:sz w:val="22"/>
                      <w:lang w:eastAsia="en-US"/>
                    </w:rPr>
                    <w:t>пп</w:t>
                  </w:r>
                  <w:r>
                    <w:rPr>
                      <w:sz w:val="22"/>
                      <w:szCs w:val="24"/>
                      <w:lang w:eastAsia="en-US"/>
                    </w:rPr>
                    <w:t>-535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°С, Р</w:t>
                  </w:r>
                  <w:r>
                    <w:rPr>
                      <w:sz w:val="22"/>
                      <w:lang w:eastAsia="en-US"/>
                    </w:rPr>
                    <w:t xml:space="preserve">отб/противодавл </w:t>
                  </w:r>
                  <w:r>
                    <w:rPr>
                      <w:sz w:val="22"/>
                      <w:szCs w:val="24"/>
                      <w:lang w:eastAsia="en-US"/>
                    </w:rPr>
                    <w:t>–</w:t>
                  </w:r>
                  <w:r>
                    <w:rPr>
                      <w:sz w:val="22"/>
                      <w:lang w:eastAsia="en-US"/>
                    </w:rPr>
                    <w:t xml:space="preserve"> </w:t>
                  </w:r>
                  <w:r>
                    <w:rPr>
                      <w:sz w:val="22"/>
                      <w:szCs w:val="24"/>
                      <w:lang w:eastAsia="en-US"/>
                    </w:rPr>
                    <w:t>10/1,5 кгс/см</w:t>
                  </w:r>
                  <w:r>
                    <w:rPr>
                      <w:sz w:val="22"/>
                      <w:szCs w:val="24"/>
                      <w:vertAlign w:val="superscript"/>
                      <w:lang w:eastAsia="en-US"/>
                    </w:rPr>
                    <w:t>2</w:t>
                  </w:r>
                </w:p>
              </w:tc>
            </w:tr>
          </w:tbl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 При поведении экспертизы расчетов и материалов, обосновывающих нормативы удельных расходов топлива: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ознакомление с технологической схемой производства тепловой и электрической энергии ЗАО «СГК»;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ознакомление с НТД по топливоиспользованию, имеющейся на ТЭЦ ЗАО «СГК»;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анализ данных по использованию топлива, выработке и отпуску тепловой и электрической энергии, в том числе за каждый месяц и в целом по году для периода регулирования;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анализ данных за 2011 - 2012 - 2013 годы по использованию топлива, выработке и отпуску тепловой и электрической энергии, в том числе за каждый месяц и в целом по году;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проверка правильности выполненных расчетов с выдачей рекомендаций и замечаний;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выдача экспертного заключения на расчет (в 2-х экземплярах на бумажном носителе);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сопровождение процедуры рассмотрения расчетов НУР топлива до момента их утверждения в Минэнерго РФ.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 При проведении экспертизы расчетов и материалов обосновывающих нормативы запасов топлива: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ознакомление с технологической схемой производства тепловой и электрической энергии ЗАО «СГК», схемой доставки топлива;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ознакомление с расчетами определения среднесуточного в январе и апреле 2015 года расхода топлива, необходимого для выполнения программы выработки тепловой и электрической энергии планируемого года;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- сопоставление и анализ ОНЗТ за 2012 – 2013 годы, утвержденных Минэнерго РФ с предлагаемым к утверждению на 2015 год;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проверка правильности выполненных расчетов с выдачей рекомендаций и замечаний;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выдача экспертного заключения на расчет (в 2-х экземплярах на бумажном носителе);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сопровождение процедуры рассмотрения расчетов создания запаса топлива до момента их утверждения в Минэнерго РФ.</w:t>
            </w:r>
          </w:p>
          <w:p w:rsidR="003632A8" w:rsidRDefault="003632A8">
            <w:pPr>
              <w:spacing w:line="276" w:lineRule="auto"/>
              <w:ind w:firstLine="17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Вся необходимая документация (схемы, расчёты, данные по топливоиспользованию) для выполнения работы передаётся исполнителю работ после заключения договора.</w:t>
            </w:r>
          </w:p>
        </w:tc>
      </w:tr>
      <w:tr w:rsidR="003632A8" w:rsidTr="003632A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3632A8" w:rsidTr="003632A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Экспертиза расчетов и материалов, обосновывающих нормативы удельных расходов топлива на отпущенную тепловую и электрическую энергию ЗАО «СГК» на 2015 год – 1 экспертиза. </w:t>
            </w:r>
          </w:p>
          <w:p w:rsidR="003632A8" w:rsidRDefault="003632A8">
            <w:pPr>
              <w:spacing w:line="276" w:lineRule="auto"/>
              <w:ind w:firstLine="318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Экспертиза материалов, обосновывающих значение нормативов создания запаса топлива ЗАО «СГК» на 2015 год – 1 экспертиза.</w:t>
            </w:r>
          </w:p>
        </w:tc>
      </w:tr>
    </w:tbl>
    <w:p w:rsidR="003632A8" w:rsidRDefault="003632A8" w:rsidP="003632A8">
      <w:pPr>
        <w:jc w:val="center"/>
        <w:rPr>
          <w:color w:val="000000"/>
        </w:rPr>
      </w:pP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</w:t>
            </w:r>
            <w:r w:rsidRPr="00791A44">
              <w:rPr>
                <w:color w:val="000000"/>
                <w:sz w:val="24"/>
                <w:szCs w:val="24"/>
                <w:lang w:eastAsia="en-US"/>
              </w:rPr>
              <w:t>Организация-исполнитель должна соответствовать требованиям Межрегиональной Ассоциации «Энергоэффективность и Нормирование» в системе РИЭР с установленной областью компетенции: «Экспертиза расчетов НУР топлива на электро- и тепловую энергию на ТЭС и котельных», что должно быть подтверждено предоставлением соответствующих документов.</w:t>
            </w:r>
            <w:bookmarkStart w:id="0" w:name="_GoBack"/>
            <w:bookmarkEnd w:id="0"/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Выполнение Экспертизы в установленные сроки и отсутствие замечаний к заключению со стороны Заказчика.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Экспертная организация несет ответственность за проведение экспертизы в соответствии с действующим законодательством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45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Передача информации третьим лицам, относящейся к предмету договора и к сведениям о ЗАО «СГК», допускается по согласованию с Заказчиком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 нахождении на объектах и территории ЗАО «СГК» персонал Исполнителя должен соблюдать правила ТБ, пожарной безопасности, внутриобъектового и пропускного режима и несёт полную материальную ответственность за вред, причиненный при производстве работ.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к составу технического предложения участника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 соответствии с ЕОСЗ ГК «Росатом» №37 от 07.02.2012.</w:t>
            </w:r>
          </w:p>
        </w:tc>
      </w:tr>
    </w:tbl>
    <w:p w:rsidR="003632A8" w:rsidRDefault="003632A8" w:rsidP="003632A8">
      <w:pPr>
        <w:jc w:val="center"/>
        <w:rPr>
          <w:color w:val="000000"/>
        </w:rPr>
      </w:pP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632A8" w:rsidRDefault="003632A8" w:rsidP="003632A8">
      <w:pPr>
        <w:tabs>
          <w:tab w:val="left" w:pos="1252"/>
        </w:tabs>
        <w:rPr>
          <w:color w:val="000000"/>
          <w:sz w:val="12"/>
          <w:szCs w:val="24"/>
        </w:rPr>
      </w:pPr>
      <w:r>
        <w:rPr>
          <w:color w:val="000000"/>
          <w:sz w:val="24"/>
          <w:szCs w:val="24"/>
        </w:rPr>
        <w:tab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 w:rsidP="003632A8">
            <w:pPr>
              <w:pStyle w:val="a4"/>
              <w:numPr>
                <w:ilvl w:val="0"/>
                <w:numId w:val="22"/>
              </w:numPr>
              <w:spacing w:line="276" w:lineRule="auto"/>
              <w:ind w:left="318" w:hanging="31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Получение Заключения Экспертизы расчетов и материалов, обосновывающих нормативы удельных расходов топлива на отпущенную тепловую и электрическую энергию ЗАО «СГК» на 2015 год. </w:t>
            </w:r>
          </w:p>
          <w:p w:rsidR="003632A8" w:rsidRDefault="003632A8" w:rsidP="003632A8">
            <w:pPr>
              <w:pStyle w:val="a4"/>
              <w:numPr>
                <w:ilvl w:val="0"/>
                <w:numId w:val="22"/>
              </w:numPr>
              <w:spacing w:line="276" w:lineRule="auto"/>
              <w:ind w:left="318" w:hanging="31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Получение Заключения Экспертизы </w:t>
            </w:r>
            <w:r>
              <w:rPr>
                <w:color w:val="000000"/>
                <w:sz w:val="24"/>
                <w:szCs w:val="24"/>
                <w:lang w:eastAsia="en-US"/>
              </w:rPr>
              <w:t>материалов, обосновывающих значение нормативов создания запаса топлива ЗАО «СГК» на 2015 год.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Приёмка услуг осуществляется двухсторонней комиссией после их окончания с предоставлением необходимой документации в полном объёме.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632A8" w:rsidTr="003632A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1. Заключение Экспертизы расчетов и материалов, обосновывающих нормативы удельных расходов топлива на отпущенную тепловую и электрическую энергию ЗАО «СГК» на 2015 год –  2 экз. </w:t>
            </w:r>
          </w:p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 Заключение Экспертизы материалов, обосновывающих значение нормативов создания запаса топлива ЗАО «СГК» на 2015 год.  –  2 экз.</w:t>
            </w:r>
          </w:p>
          <w:p w:rsidR="003632A8" w:rsidRDefault="003632A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 Акт выполненных работ – 2 экз.</w:t>
            </w:r>
          </w:p>
        </w:tc>
      </w:tr>
    </w:tbl>
    <w:p w:rsidR="003632A8" w:rsidRDefault="003632A8" w:rsidP="003632A8">
      <w:pPr>
        <w:rPr>
          <w:color w:val="000000"/>
        </w:rPr>
      </w:pPr>
    </w:p>
    <w:p w:rsidR="003632A8" w:rsidRDefault="003632A8" w:rsidP="003632A8">
      <w:pPr>
        <w:jc w:val="center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3632A8" w:rsidRDefault="003632A8" w:rsidP="003632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632A8" w:rsidTr="003632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2A8" w:rsidRDefault="003632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2A8" w:rsidRDefault="003632A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3632A8" w:rsidTr="003632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ЕОСЗ ГК 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Единый отраслевой стандарт закупок Государственной корпорации по атомной энергии «Росатом»</w:t>
            </w:r>
          </w:p>
        </w:tc>
      </w:tr>
      <w:tr w:rsidR="003632A8" w:rsidTr="003632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ТЭЦ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2A8" w:rsidRDefault="003632A8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Теплоэлектроцентраль</w:t>
            </w:r>
          </w:p>
        </w:tc>
      </w:tr>
    </w:tbl>
    <w:p w:rsidR="003632A8" w:rsidRDefault="003632A8" w:rsidP="003632A8">
      <w:pPr>
        <w:jc w:val="center"/>
        <w:rPr>
          <w:color w:val="000000"/>
        </w:rPr>
      </w:pPr>
    </w:p>
    <w:p w:rsidR="00342B7A" w:rsidRDefault="00342B7A" w:rsidP="003632A8">
      <w:pPr>
        <w:jc w:val="center"/>
        <w:rPr>
          <w:color w:val="000000"/>
        </w:rPr>
      </w:pPr>
    </w:p>
    <w:sectPr w:rsidR="00342B7A" w:rsidSect="00FF68E6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48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0D5" w:rsidRDefault="007A40D5" w:rsidP="001A5002">
      <w:r>
        <w:separator/>
      </w:r>
    </w:p>
  </w:endnote>
  <w:endnote w:type="continuationSeparator" w:id="0">
    <w:p w:rsidR="007A40D5" w:rsidRDefault="007A40D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791A44">
          <w:rPr>
            <w:noProof/>
            <w:sz w:val="24"/>
            <w:szCs w:val="24"/>
          </w:rPr>
          <w:t>51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0D5" w:rsidRDefault="007A40D5" w:rsidP="001A5002">
      <w:r>
        <w:separator/>
      </w:r>
    </w:p>
  </w:footnote>
  <w:footnote w:type="continuationSeparator" w:id="0">
    <w:p w:rsidR="007A40D5" w:rsidRDefault="007A40D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344"/>
    <w:multiLevelType w:val="hybridMultilevel"/>
    <w:tmpl w:val="10468E7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2344FA"/>
    <w:multiLevelType w:val="hybridMultilevel"/>
    <w:tmpl w:val="EAE86E4E"/>
    <w:lvl w:ilvl="0" w:tplc="A1A23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1A747DF9"/>
    <w:multiLevelType w:val="hybridMultilevel"/>
    <w:tmpl w:val="CA3E6B0A"/>
    <w:lvl w:ilvl="0" w:tplc="6354E34E">
      <w:start w:val="1"/>
      <w:numFmt w:val="decimal"/>
      <w:lvlText w:val="%1."/>
      <w:lvlJc w:val="left"/>
      <w:pPr>
        <w:ind w:left="1501" w:hanging="900"/>
      </w:p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9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0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1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4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6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7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9">
    <w:nsid w:val="77695991"/>
    <w:multiLevelType w:val="hybridMultilevel"/>
    <w:tmpl w:val="6C044042"/>
    <w:lvl w:ilvl="0" w:tplc="DBB44BA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20"/>
  </w:num>
  <w:num w:numId="2">
    <w:abstractNumId w:val="7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7"/>
  </w:num>
  <w:num w:numId="6">
    <w:abstractNumId w:val="16"/>
  </w:num>
  <w:num w:numId="7">
    <w:abstractNumId w:val="5"/>
  </w:num>
  <w:num w:numId="8">
    <w:abstractNumId w:val="9"/>
  </w:num>
  <w:num w:numId="9">
    <w:abstractNumId w:val="18"/>
  </w:num>
  <w:num w:numId="10">
    <w:abstractNumId w:val="14"/>
  </w:num>
  <w:num w:numId="11">
    <w:abstractNumId w:val="10"/>
  </w:num>
  <w:num w:numId="12">
    <w:abstractNumId w:val="3"/>
  </w:num>
  <w:num w:numId="13">
    <w:abstractNumId w:val="2"/>
  </w:num>
  <w:num w:numId="14">
    <w:abstractNumId w:val="11"/>
  </w:num>
  <w:num w:numId="15">
    <w:abstractNumId w:val="6"/>
  </w:num>
  <w:num w:numId="16">
    <w:abstractNumId w:val="21"/>
  </w:num>
  <w:num w:numId="17">
    <w:abstractNumId w:val="13"/>
  </w:num>
  <w:num w:numId="18">
    <w:abstractNumId w:val="1"/>
  </w:num>
  <w:num w:numId="19">
    <w:abstractNumId w:val="4"/>
  </w:num>
  <w:num w:numId="20">
    <w:abstractNumId w:val="0"/>
  </w:num>
  <w:num w:numId="21">
    <w:abstractNumId w:val="19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5633"/>
    <w:rsid w:val="00041CA5"/>
    <w:rsid w:val="000448DF"/>
    <w:rsid w:val="0005003A"/>
    <w:rsid w:val="00057736"/>
    <w:rsid w:val="0007048B"/>
    <w:rsid w:val="00083CFD"/>
    <w:rsid w:val="00095B8E"/>
    <w:rsid w:val="000A625B"/>
    <w:rsid w:val="000B7D78"/>
    <w:rsid w:val="000D0760"/>
    <w:rsid w:val="000D3849"/>
    <w:rsid w:val="000E197E"/>
    <w:rsid w:val="000F1122"/>
    <w:rsid w:val="000F3E75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D7172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35BAF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44A3C"/>
    <w:rsid w:val="00350527"/>
    <w:rsid w:val="003632A8"/>
    <w:rsid w:val="0036342B"/>
    <w:rsid w:val="00376DE1"/>
    <w:rsid w:val="003B2B09"/>
    <w:rsid w:val="003B48A2"/>
    <w:rsid w:val="003C5CFA"/>
    <w:rsid w:val="003D22A1"/>
    <w:rsid w:val="003E0AFF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07B11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1CB0"/>
    <w:rsid w:val="005A382B"/>
    <w:rsid w:val="005B0CB3"/>
    <w:rsid w:val="005B43E6"/>
    <w:rsid w:val="005C0129"/>
    <w:rsid w:val="005C4458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5C82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1A44"/>
    <w:rsid w:val="00793FCF"/>
    <w:rsid w:val="007A40D5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7468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2857"/>
    <w:rsid w:val="00D269AA"/>
    <w:rsid w:val="00D27C44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B6B2C"/>
    <w:rsid w:val="00FC3B2A"/>
    <w:rsid w:val="00FC3F29"/>
    <w:rsid w:val="00FC76C2"/>
    <w:rsid w:val="00FD0426"/>
    <w:rsid w:val="00FD268D"/>
    <w:rsid w:val="00FD7BAF"/>
    <w:rsid w:val="00FF3D30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0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24</cp:revision>
  <cp:lastPrinted>2014-04-21T07:11:00Z</cp:lastPrinted>
  <dcterms:created xsi:type="dcterms:W3CDTF">2013-11-13T11:37:00Z</dcterms:created>
  <dcterms:modified xsi:type="dcterms:W3CDTF">2014-04-29T12:23:00Z</dcterms:modified>
</cp:coreProperties>
</file>