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E734C4">
        <w:rPr>
          <w:color w:val="1F497D"/>
        </w:rPr>
        <w:t>являющуюся убытками или неустойкой по основному обязательству</w:t>
      </w:r>
      <w:r w:rsidR="00E734C4">
        <w:rPr>
          <w:color w:val="000000"/>
        </w:rPr>
        <w:t xml:space="preserve"> </w:t>
      </w:r>
      <w:r w:rsidR="00E734C4" w:rsidRPr="00E734C4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04D" w:rsidRDefault="00B0704D">
      <w:r>
        <w:separator/>
      </w:r>
    </w:p>
  </w:endnote>
  <w:endnote w:type="continuationSeparator" w:id="0">
    <w:p w:rsidR="00B0704D" w:rsidRDefault="00B07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24E7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04D" w:rsidRDefault="00B0704D">
      <w:r>
        <w:separator/>
      </w:r>
    </w:p>
  </w:footnote>
  <w:footnote w:type="continuationSeparator" w:id="0">
    <w:p w:rsidR="00B0704D" w:rsidRDefault="00B07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E734C4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0704D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24E7E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734C4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9E563-02C4-4006-9E70-94DBF921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4342</Words>
  <Characters>24755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2011-06-22T12:20:00Z</dcterms:modified>
</cp:coreProperties>
</file>