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08"/>
        <w:gridCol w:w="5163"/>
      </w:tblGrid>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center"/>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ATOMREDMETZOLOTO (JSC) OUTSIDE COUNSEL POLICIES AND PROCEDURES</w:t>
            </w:r>
          </w:p>
          <w:p w:rsidR="00470AA6" w:rsidRPr="00D37973" w:rsidRDefault="00470AA6" w:rsidP="00453FFC">
            <w:pPr>
              <w:spacing w:after="0" w:line="240" w:lineRule="auto"/>
              <w:jc w:val="center"/>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spacing w:after="0" w:line="240" w:lineRule="auto"/>
              <w:jc w:val="center"/>
              <w:rPr>
                <w:rFonts w:ascii="Times New Roman" w:eastAsia="Times New Roman" w:hAnsi="Times New Roman"/>
                <w:bCs/>
                <w:sz w:val="24"/>
                <w:szCs w:val="24"/>
              </w:rPr>
            </w:pPr>
            <w:r w:rsidRPr="00D37973">
              <w:rPr>
                <w:rFonts w:ascii="Times New Roman" w:eastAsia="Times New Roman" w:hAnsi="Times New Roman"/>
                <w:bCs/>
                <w:sz w:val="24"/>
                <w:szCs w:val="24"/>
              </w:rPr>
              <w:t>ПОЛИТИКА И ПРОЦЕДУРЫ В ОТНОШЕНИИ ПРИВЛЕЧЕНИЯ СТОРОННИХ ЮРИДИЧЕСКИХ КОНСУЛЬТАНТОВ ОАО «АТОМРЕДМЕТЗОЛОТО</w:t>
            </w:r>
          </w:p>
          <w:p w:rsidR="00470AA6" w:rsidRPr="00D37973" w:rsidRDefault="00470AA6" w:rsidP="00453FFC">
            <w:pPr>
              <w:spacing w:after="0" w:line="240" w:lineRule="auto"/>
              <w:jc w:val="center"/>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Scope</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Предмет</w:t>
            </w:r>
          </w:p>
          <w:p w:rsidR="00470AA6" w:rsidRPr="00D37973" w:rsidRDefault="00470AA6" w:rsidP="00453FFC">
            <w:pPr>
              <w:spacing w:after="0" w:line="240" w:lineRule="auto"/>
              <w:jc w:val="both"/>
              <w:rPr>
                <w:rFonts w:ascii="Times New Roman" w:eastAsia="Times New Roman" w:hAnsi="Times New Roman"/>
                <w:sz w:val="24"/>
                <w:szCs w:val="24"/>
                <w:lang w:val="en-AU"/>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These guidelines are applicable to all the Client’s matters referred to outside counsel absent express agreement or instructions from the Client to the contrary.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Настоящие принципы применяются в отношении всех дел Компании, передаваемых сторонним юридическим консультантам в отсутствие прямого соглашения или наших распоряжений об обратном.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When retaining outside counsel, the Client expects to achieve three goals: 1) high quality legal representation that produces maximum value results; 2) the most efficient use of resources; and 3) results in the most cost effective manner. </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При привлечении к работе сторонних юридических консультантов мы ожидаем реализовать три цели: 1) получить высококачественные юридические услуги, обеспечивающие максимально ценные результаты; 2) обеспечить максимально эффективное использование ресурсов; а также 3) получить результаты максимально эффективным с точки зрения затрат образом.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Evaluation of outside counsel is based on effective control of costs, as well as on success in achieving the Client’s particular objectives.  </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Оценка сторонних юридических консультантов основана на эффективном контроле затрат, а также на успехе достижения наших определенных задач.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Protocol</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Протокол</w:t>
            </w: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will nominate a representative (“Representative”) to issue instructions to outside counsel at the time of the engagement. The Representative is responsible for the firm’s selection and engagement as outside counsel, for determining the manner in which legal advice and assistance will be given to the Client, and for determining the scope of legal services to be provided.</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Мы назначим Представителя Компании («Представитель») для передачи инструкций стороннему юридическому консультанту в момент привлечения последнего к работе. Данный Представитель отвечает за выбор и привлечение вашей фирмы в качестве стороннего юридического консультанта, за определение способа, которым юридические консультации и содействие будут оказываться Компании, а также за определение объема юридических услуг, которые будут оказываться.</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The Representative is the firm's point of contact within the Client. The outside counsel should not communicate with anyone else at the Client unless expressly instructed to do so by the Representative. Any requests for the provision of services will be made by the Representative. The outside counsel should neither seek nor </w:t>
            </w:r>
            <w:r w:rsidRPr="00D37973">
              <w:rPr>
                <w:rFonts w:ascii="Times New Roman" w:eastAsia="Times New Roman" w:hAnsi="Times New Roman"/>
                <w:bCs/>
                <w:sz w:val="24"/>
                <w:szCs w:val="24"/>
                <w:lang w:val="en-AU"/>
              </w:rPr>
              <w:lastRenderedPageBreak/>
              <w:t xml:space="preserve">accept direction from anyone else within the Client, unless specifically instructed to do so by the Representative. </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 xml:space="preserve">Представитель является контактным лицом нашей Компании для вашей фирмы. Вы не должны связываться ни с кем другим в Компании, если Представитель прямо не поручил вам обратное. Любые запросы на оказание услуг будут осуществляться Представителем. Вы не должны ни запрашивать, ни принимать указания от любого </w:t>
            </w:r>
            <w:r w:rsidRPr="00D37973">
              <w:rPr>
                <w:rFonts w:ascii="Times New Roman" w:eastAsia="Times New Roman" w:hAnsi="Times New Roman"/>
                <w:sz w:val="24"/>
                <w:szCs w:val="24"/>
              </w:rPr>
              <w:lastRenderedPageBreak/>
              <w:t xml:space="preserve">иного лица из Компании, если Представитель прямо не поручил вам обратное.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The Representative will act as the liaison between the firm and the Client and will be responsible for stating Client’s objectives for assigned projects, establishing open channels of communication and access to relevant information, monitoring progress, and assessing your firm's continuing role. The Representative will also participate in and approve all important decisions and all projects that will require an expenditure of time, money, and resources.</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Представитель будет выступать в качестве официального контактного лица нашей Компании для вашей фирмы и будет отвечать за определение задач Компании в рамках переданных вам проектов, открытых каналов связи и доступа к соответствующей информации, за мониторинг прогресса и оценку работы вашей фирмы. Представитель также будет участвовать и утверждать все важные решения и все проекты, которые потребуют затрат времени, денежных средств и ресурсов.</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Staffing</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Кадры</w:t>
            </w: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The firm's staffing of a matter should be discussed at the outset. Ultimately, staffing is a Client decision, and the Representative will provide input and review staffing to insure that it is optimal to achieve the goals of the Client at the least cost. Changes to staffing are not to be made without the Representative's prior approval.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Кадры фирмы, ответственные за определенное дело, должны быть обсуждены в самом начале работ. В конечном итоге Компания принимает решение по кадрам, и Представитель предложит рекомендации и будет осуществлять контроль над выбором кадров для обеспечения того, что кадровый состав являлся оптимальным для достижения задач Компании при наименьших затратах. Изменения кадрового состава не должны осуществляться без предшествующего согласия Представителя.</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resources of the Client should be the starting point for all projects. For certain research activities the outside counsel might otherwise undertake, or for business, economic, financial, or historical information, the Client expects the outside counsel to look to the information and experience available throughout the Client as a primary source.</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Ресурсы Компании должны являться отправной точкой по всем проектам. Мы ожидаем того, что вы будете обращаться к ресурсам Компании в качестве первоочередного источника информации и опыта в связи с определенными аналитическими мероприятиями, которые вы можете осуществлять, или для получения коммерческой, экономической, финансовой или исторической информации.</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In the course of handling a matter, the Client expects that the outside counsel will keep consultations with other attorneys in the firm to a minimum. If intra-office conferences and meetings are required between attorneys in your firm, the Client expects the outside counsel to ensure that they are limited and clearly justified and that their reason and purpose are included on the invoice in detail.</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Мы ожидаем того, что в рамках работы над делом Компании вы сведете к минимуму консультации с другими юристами вашей фирмы. Если требуется провести внутренние конференции и совещания между юристами вашей фирмы, мы ожидаем того, что они будут ограничены и четко оправданы, и что информация о причине и цели их проведения подробно описана в счете.</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Finally, no outside providers, consultants, or experts are to be retained without the prior approval.</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Наконец, без предварительного согласия недопустимо привлекать к работам сторонних поставщиков услуг, консультантов или экспертов.</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Management</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Управление</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requires advance project plans and budgets for every matter. The Client appreciates the outside counsel’s responsiveness to considerations of cost effectiveness in making the estimates and evaluations.</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По каждому вопросу мы требуем предоставить предварительные планы и бюджеты проектов. Мы ценим ваше понимание в отношении соображений эффективности затрат при составлении смет и оценок.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Unless it is impracticable, the Client requires separate engagement letters to be executed for separate matters.</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Если имеется такая возможность, мы запрашиваем исполнение отдельных писем-договоров по отдельным вопросам.</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Fees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Гонорары</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Legal costs are a part of our overall business costs and are evaluated continually on a cost-benefit basis.</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Юридические расходы являются частью наших общих хозяйственных затрат и постоянно оцениваются на предмет затрат и полученных результатов.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and outside counsel must agree at the outset on the hourly rates (or other fee arrangement) for each particular case or matter.</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Компания и сторонний юридический консультант должны с самого начала согласовать почасовые ставки (или иной порядок расчета гонорара) по каждому отдельному делу или вопросу.</w:t>
            </w: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requires that the outside counsel reports to the Client promptly when fees in a matter for any given month reach a certain figure to help the Client monitor its costs efficiently. The Client also asks that the outside counsel to inform the Client promptly when faced with a particular task or project milestone, which requires significant investment of billable time.</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Мы просим без промедлений информировать нас в случаях, когда гонорары по определенному вопросу в каком-либо месяце достигают определенной величины, чтобы помочь нам осуществлять эффективный мониторинг расходов. Мы также просим без промедлений информировать нас в случае возникновения определенной задачи или этапа проекта, требующего существенных затрат оплачиваемого времени.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expects to agree on fee arrangements in advance. The Client encourages the outside counsel to explore creative fee arrangements, including contingent and partially contingent fees, success fees, and fixed fees.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Мы ожидаем того, что порядок начисления гонорара будет согласован заранее. Мы приветствуем творческий подход к схемам начисления гонорара, включая условные и частично условные гонорары, гонорар успеха и фиксированный гонорар.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It is the Client’s policy to require that all </w:t>
            </w:r>
            <w:r w:rsidRPr="00D37973">
              <w:rPr>
                <w:rFonts w:ascii="Times New Roman" w:eastAsia="Times New Roman" w:hAnsi="Times New Roman"/>
                <w:bCs/>
                <w:sz w:val="24"/>
                <w:szCs w:val="24"/>
                <w:lang w:val="en-AU"/>
              </w:rPr>
              <w:lastRenderedPageBreak/>
              <w:t>fees include applicable local taxes, including VAT.</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 xml:space="preserve">В соответствии с нашей политикой мы требуем </w:t>
            </w:r>
            <w:r w:rsidRPr="00D37973">
              <w:rPr>
                <w:rFonts w:ascii="Times New Roman" w:eastAsia="Times New Roman" w:hAnsi="Times New Roman"/>
                <w:sz w:val="24"/>
                <w:szCs w:val="24"/>
              </w:rPr>
              <w:lastRenderedPageBreak/>
              <w:t>включать во все гонорары применимые местные налоги, включая НДС.</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Expenses/Disbursements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Расходы/ выплаты</w:t>
            </w:r>
          </w:p>
          <w:p w:rsidR="00470AA6" w:rsidRPr="00D37973" w:rsidRDefault="00470AA6" w:rsidP="00453FFC">
            <w:pPr>
              <w:spacing w:after="0" w:line="240" w:lineRule="auto"/>
              <w:jc w:val="both"/>
              <w:rPr>
                <w:rFonts w:ascii="Times New Roman" w:eastAsia="Times New Roman" w:hAnsi="Times New Roman"/>
                <w:sz w:val="24"/>
                <w:szCs w:val="24"/>
                <w:lang w:val="en-AU"/>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Client will reimburse the outside counsel for actual costs and expenses related to matters assigned and for necessary and reasonable out-of-pocket disbursements, subject to the limitations and exceptions set forth below. Outside counsel is expected to have a system in place that ensures those who bill time and disbursements to Client matters do so promptly and accurately.</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Компания компенсирует реально понесенные расходы и издержки, связанные с переданными вам вопросами, а также необходимые и обоснованные непосредственные выплаты с учетом указанных ниже ограничений и исключений. Предполагается, что сторонний юридический консультант имеет систему, обеспечивающую оперативное и точное начисление ответственными за это лицами оплачиваемого времени и расходов в связи с делами Компании.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All expenses in excess of a certain sum to be established as part of your engagement letter for a particular matter are to be approved by us in advance.</w:t>
            </w: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Все расходы, превышающие определенную сумму, которая устанавливается в вашем письме-договоре по определенному делу, должны утверждаться нами заранее.</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The Client will not reimburse for: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 </w:t>
            </w: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Компания не будет компенсировать следующие расходы: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 </w:t>
            </w: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(a) work exceeding that which was authorized by the Representative; </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a</w:t>
            </w:r>
            <w:r w:rsidRPr="00D37973">
              <w:rPr>
                <w:rFonts w:ascii="Times New Roman" w:eastAsia="Times New Roman" w:hAnsi="Times New Roman"/>
                <w:sz w:val="24"/>
                <w:szCs w:val="24"/>
              </w:rPr>
              <w:t xml:space="preserve">) работы, объем которых превышает объем, утвержденный Представителем;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(b) costs that are not fully explained;</w:t>
            </w:r>
          </w:p>
        </w:tc>
        <w:tc>
          <w:tcPr>
            <w:tcW w:w="5529" w:type="dxa"/>
            <w:tcBorders>
              <w:top w:val="nil"/>
              <w:left w:val="nil"/>
              <w:bottom w:val="nil"/>
              <w:right w:val="nil"/>
            </w:tcBorders>
          </w:tcPr>
          <w:p w:rsidR="00470AA6" w:rsidRPr="00862A2D" w:rsidRDefault="00470AA6" w:rsidP="00453FFC">
            <w:pPr>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b</w:t>
            </w:r>
            <w:r w:rsidRPr="00D37973">
              <w:rPr>
                <w:rFonts w:ascii="Times New Roman" w:eastAsia="Times New Roman" w:hAnsi="Times New Roman"/>
                <w:sz w:val="24"/>
                <w:szCs w:val="24"/>
              </w:rPr>
              <w:t>) расходы, по которым отсутствует полное объяснение;</w:t>
            </w:r>
          </w:p>
          <w:p w:rsidR="00470AA6" w:rsidRPr="00862A2D"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(c) costs included in a ‘miscellaneous’ or ‘other’ category of charges; </w:t>
            </w:r>
          </w:p>
          <w:p w:rsidR="00470AA6" w:rsidRPr="00D37973" w:rsidRDefault="00470AA6" w:rsidP="00453FFC">
            <w:pPr>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c</w:t>
            </w:r>
            <w:r w:rsidRPr="00D37973">
              <w:rPr>
                <w:rFonts w:ascii="Times New Roman" w:eastAsia="Times New Roman" w:hAnsi="Times New Roman"/>
                <w:sz w:val="24"/>
                <w:szCs w:val="24"/>
              </w:rPr>
              <w:t xml:space="preserve">) расходы, включенные в категорию «разное» или «другое»; </w:t>
            </w:r>
          </w:p>
          <w:p w:rsidR="00470AA6" w:rsidRPr="00D37973" w:rsidRDefault="00470AA6" w:rsidP="00453FFC">
            <w:pPr>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(d) overhead costs and expenses - such as those relating to fees for time or overtime expended by support staff (secretaries, administrative/clerical personnel, internal messengers, and other similar services), word processing, cost of supplies or equipment, and/or other similar costs of doing business;</w:t>
            </w:r>
          </w:p>
        </w:tc>
        <w:tc>
          <w:tcPr>
            <w:tcW w:w="5529" w:type="dxa"/>
            <w:tcBorders>
              <w:top w:val="nil"/>
              <w:left w:val="nil"/>
              <w:bottom w:val="nil"/>
              <w:right w:val="nil"/>
            </w:tcBorders>
          </w:tcPr>
          <w:p w:rsidR="00470AA6" w:rsidRPr="00862A2D"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d</w:t>
            </w:r>
            <w:r w:rsidRPr="00D37973">
              <w:rPr>
                <w:rFonts w:ascii="Times New Roman" w:eastAsia="Times New Roman" w:hAnsi="Times New Roman"/>
                <w:sz w:val="24"/>
                <w:szCs w:val="24"/>
              </w:rPr>
              <w:t>) накладные расходы и издержки, например, расходы, связанные с платежами за работу или сверхурочную работу вспомогательного персонала (секретари, административный/канцелярский персонал, внутренние курьеры и прочие подобные сотрудники), обработку текста, стоимость материалов или оборудования и(или) другие подобные рабочие затраты;</w:t>
            </w:r>
          </w:p>
          <w:p w:rsidR="00470AA6" w:rsidRPr="00862A2D"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(e) mark-ups or surcharges on any cost or expense.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e</w:t>
            </w:r>
            <w:r w:rsidRPr="00D37973">
              <w:rPr>
                <w:rFonts w:ascii="Times New Roman" w:eastAsia="Times New Roman" w:hAnsi="Times New Roman"/>
                <w:sz w:val="24"/>
                <w:szCs w:val="24"/>
              </w:rPr>
              <w:t xml:space="preserve">) наценки или надбавки к любым расходам или издержкам.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(f) routine administrative tasks of creating, organizing, and updating files; receiving, reviewing, and distributing mail.</w:t>
            </w: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w:t>
            </w:r>
            <w:r w:rsidRPr="00D37973">
              <w:rPr>
                <w:rFonts w:ascii="Times New Roman" w:eastAsia="Times New Roman" w:hAnsi="Times New Roman"/>
                <w:sz w:val="24"/>
                <w:szCs w:val="24"/>
                <w:lang w:val="en-AU"/>
              </w:rPr>
              <w:t>f</w:t>
            </w:r>
            <w:r w:rsidRPr="00D37973">
              <w:rPr>
                <w:rFonts w:ascii="Times New Roman" w:eastAsia="Times New Roman" w:hAnsi="Times New Roman"/>
                <w:sz w:val="24"/>
                <w:szCs w:val="24"/>
              </w:rPr>
              <w:t>) рутинные административные задачи по созданию, организации и обновлению папок с делами, получению, просмотру и рассылке почты.</w:t>
            </w: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The Client will reimburse firms for </w:t>
            </w:r>
            <w:r w:rsidRPr="00D37973">
              <w:rPr>
                <w:rFonts w:ascii="Times New Roman" w:eastAsia="Times New Roman" w:hAnsi="Times New Roman"/>
                <w:bCs/>
                <w:sz w:val="24"/>
                <w:szCs w:val="24"/>
                <w:lang w:val="en-AU"/>
              </w:rPr>
              <w:lastRenderedPageBreak/>
              <w:t>separately itemized expenses and disbursements in the following categories:</w:t>
            </w: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 xml:space="preserve">Компания компенсирует фирмам отдельно </w:t>
            </w:r>
            <w:r w:rsidRPr="00D37973">
              <w:rPr>
                <w:rFonts w:ascii="Times New Roman" w:eastAsia="Times New Roman" w:hAnsi="Times New Roman"/>
                <w:sz w:val="24"/>
                <w:szCs w:val="24"/>
              </w:rPr>
              <w:lastRenderedPageBreak/>
              <w:t>детализированные расходы и издержки в следующих категориях:</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 xml:space="preserve">Postage, messenger/courier service – the Client will reimburse actual charges billed to the firm for deliveries (including overnight deliveries where this level of service is required because of time constraints imposed by the Client or because of the need for reliability given the nature of the items being transported). Appropriate summaries of postal and messenger/courier expenses must reflect the date and cost of the service and the identity of the sender and the recipient or the points of transportation.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Почтовые, курьерские услуги – Компания компенсирует фактически суммы, выставленные вашей фирме за отправления (включая срочную доставку, если такой тип услуг требуется в связи с временными ограничениями, установленными Компанией, или из-за потребности в обеспечении сохранности, учитывая характер отправляемого). В соответствующем кратком описании почтовых и курьерских расходов должны отображаться дата и стоимость услуг, а также указываться отправитель и получатель или пункты перевозки.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Long-distance telephone and facsimile transmission charges – the Client will reimburse actual charges billed to the firm for each call or outgoing facsimile, without overhead adjustment, and without a premium.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Междугородняя телефонная и факсимильная связь – Компания компенсирует фактические суммы, выставленные вашей фирме за каждый звонок или исходящее факсимильное сообщение, без корректировки по накладным расходам и без каких-либо наценок.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Travel – the Client will reimburse actual charges for transportation, hotels, and business meals reasonable and necessary for effective representation of the Client. The Client does not reimburse first-class travel. Summaries of all travel expenses should reflect the identity of the user, the date and amount of each specific cost, and the points of travel. The Client also requires appropriate bills and invoices (receipts) from the providers (hotels, restaurants, etc.) or print-outs from the outside counsel book-keeping system (in cases when receipts are not available) for tax purposes.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Дорожные расходы – Компания компенсирует фактические расходы на переезд, проживание в гостинице и питание, являющиеся обоснованными и необходимыми для эффективного представления интересов Компании. Компания не компенсирует стоимость перелета первым классом. Краткое описание всех дорожных расходов должно содержать информацию о пользователе, дате и сумме каждых конкретных затрат, а также пункты маршрута. Мы также требуем предоставить соответствующие счета (квитанции) от поставщиков услуг (отелей, ресторанов и пр.) для налоговых целей.</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Computerized research – the Client agrees that it will reimburse firms for actual charges for on-line services, and any associated charges for legal services which accompany its performance. Summaries of expenditures for computerized research should reflect the hourly cost of utilizing online services, the amount of time utilized, and the date of the research.</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Компьютерный поиск – Компания соглашается с тем, что она компенсирует фирмам фактические расходы на Интернет-услуги и любые связанные расходы на сопутствующие юридические услуги. В кратком описании расходов на компьютерный поиск должна отражаться почасовая стоимость пользования Интернет-услугами, количество использованного времени и дата осуществления поиска.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Photocopying/printing – Unless agreed </w:t>
            </w:r>
            <w:r w:rsidRPr="00D37973">
              <w:rPr>
                <w:rFonts w:ascii="Times New Roman" w:eastAsia="Times New Roman" w:hAnsi="Times New Roman"/>
                <w:bCs/>
                <w:sz w:val="24"/>
                <w:szCs w:val="24"/>
                <w:lang w:val="en-AU"/>
              </w:rPr>
              <w:lastRenderedPageBreak/>
              <w:t>upon in advance, the Client will reimburse only actual charges for outside photocopy, binding, and printing services and costs of inside photocopy services not to exceed the actual expense per copy. Summaries of expenditures for copying should reflect both the number of copies made and the cost per copy.</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 xml:space="preserve">Ксерокопирование/ распечатка – Если иное не </w:t>
            </w:r>
            <w:r w:rsidRPr="00D37973">
              <w:rPr>
                <w:rFonts w:ascii="Times New Roman" w:eastAsia="Times New Roman" w:hAnsi="Times New Roman"/>
                <w:sz w:val="24"/>
                <w:szCs w:val="24"/>
              </w:rPr>
              <w:lastRenderedPageBreak/>
              <w:t>было согласовано заранее, Компания компенсирует только фактические расходы на стороннее ксерокопирование, переплет и распечатку, стоимость же собственных услуг ксерокопирования не должна превышать фактических расходов на одну копию. В кратком описании расходов на ксерокопирование должно отражаться как количество изготовленных копий, так и стоимость одной копии.</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Billing Statements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rPr>
            </w:pPr>
            <w:r w:rsidRPr="00D37973">
              <w:rPr>
                <w:rFonts w:ascii="Times New Roman" w:eastAsia="Times New Roman" w:hAnsi="Times New Roman"/>
                <w:bCs/>
                <w:sz w:val="24"/>
                <w:szCs w:val="24"/>
              </w:rPr>
              <w:t>Описание услуг</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lang w:val="en-AU"/>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A detailed statement of the services to the Client should be submitted on a monthly basis, within fourteen (14) days after the last business day of the month in which the services were rendered.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Подробное изложение оказанных вами услуг Компании должно представляться ежемесячно в течение четырнадцати (14) дней после последнего рабочего дня месяца, в котором были оказаны услуги.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Invoices payable by the Client will generally be paid within thirty (30) days of receipt, but the internal review may result in some delay.</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Счета, подлежащие оплате Компанией, обычно оплачиваются в течение тридцати (30) дней с даты получения, однако наша внутренняя их проверка может привести к некоторым задержкам.</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All statements must be prepared within the following guidelines to ensure prompt payment.  If the outside counsel is unable to produce invoices within the stated parameters, it should discuss this matter with the Representative at the time of the execution of the engagement letter.</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Для обеспечения выплат без промедлений все описания должны составляться на основании следующих принципов. Если вы не можете составлять счета в соответствии с указанными параметрами, вам следует обсудить этот вопрос с Представителем в момент подписания письма-договора.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Each invoice shall include:</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Просим включать в каждый счет следующую информацию:</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1. matter;</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1. дело;</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2. invoice number;</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2. номер счета;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3. a chronological description, by date and task, of the services performed by each attorney with a comprehensive and comprehensible description of the services actually performed (i.e. a description that provides sufficient information so as to enable the Client to understand the nature of the services rendered);</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3. хронологическое описание по дате и задачам услуг, оказанных каждым юристом, с полным и понятным описанием фактически оказанных услуг (т.е. описание, которое содержит достаточно информации для того, что Компания могла понять характер оказанных услуг);</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4. the name of each attorney who performed each task, the time spent on </w:t>
            </w:r>
            <w:r w:rsidRPr="00D37973">
              <w:rPr>
                <w:rFonts w:ascii="Times New Roman" w:eastAsia="Times New Roman" w:hAnsi="Times New Roman"/>
                <w:bCs/>
                <w:sz w:val="24"/>
                <w:szCs w:val="24"/>
                <w:lang w:val="en-AU"/>
              </w:rPr>
              <w:lastRenderedPageBreak/>
              <w:t>each task, and that attorney’s hourly rate;</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lastRenderedPageBreak/>
              <w:t xml:space="preserve">4. имя каждого юриста, который выполнял каждую задачу, время, потраченное на </w:t>
            </w:r>
            <w:r w:rsidRPr="00D37973">
              <w:rPr>
                <w:rFonts w:ascii="Times New Roman" w:eastAsia="Times New Roman" w:hAnsi="Times New Roman"/>
                <w:sz w:val="24"/>
                <w:szCs w:val="24"/>
              </w:rPr>
              <w:lastRenderedPageBreak/>
              <w:t>выполнение каждой задачи, и почасовая ставка такого юриста;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lastRenderedPageBreak/>
              <w:t>5. the current month's total hours and total fees for each attorney billing time to the case;</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5. общее количество часов и общая сумма гонорара на основании времени, затраченного каждым юристом для работы над делом, за месяц;</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6. the total fee for all professional services rendered during the period;</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6. общий гонорар за все профессиональные услуги, оказанные в течение периода;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7. a separate itemized list of disbursements and expenses;</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7. отдельный постатейный список расходов и выплат;</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8. a total of fees and disbursements year-to-date on the matter;</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8. общая сумма гонораров и расходов по делу за истекший период года;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9. the mailing date of the statement.</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9. дата отправки акта.</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lang w:val="en-AU"/>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 xml:space="preserve">Billing information for each separately identifiable matter should be on a separate bill. Statements should be rendered in tenths of an hour.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 xml:space="preserve">Платежная информация по каждому отдельному делу должна указываться на отдельном счете. Описание услуг должно составляться с интервалом времени в одну десятую часа. </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r w:rsidR="00470AA6" w:rsidRPr="00D37973" w:rsidTr="00453FFC">
        <w:tc>
          <w:tcPr>
            <w:tcW w:w="4785"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r w:rsidRPr="00D37973">
              <w:rPr>
                <w:rFonts w:ascii="Times New Roman" w:eastAsia="Times New Roman" w:hAnsi="Times New Roman"/>
                <w:bCs/>
                <w:sz w:val="24"/>
                <w:szCs w:val="24"/>
                <w:lang w:val="en-AU"/>
              </w:rPr>
              <w:t>The invoice shall clearly show the total of only the current bill. Prior balances or payment history should be shown separately, if at all, by invoice number, invoice date, and amount.</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bCs/>
                <w:sz w:val="24"/>
                <w:szCs w:val="24"/>
                <w:lang w:val="en-AU"/>
              </w:rPr>
            </w:pPr>
          </w:p>
        </w:tc>
        <w:tc>
          <w:tcPr>
            <w:tcW w:w="5529" w:type="dxa"/>
            <w:tcBorders>
              <w:top w:val="nil"/>
              <w:left w:val="nil"/>
              <w:bottom w:val="nil"/>
              <w:right w:val="nil"/>
            </w:tcBorders>
          </w:tcPr>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r w:rsidRPr="00D37973">
              <w:rPr>
                <w:rFonts w:ascii="Times New Roman" w:eastAsia="Times New Roman" w:hAnsi="Times New Roman"/>
                <w:sz w:val="24"/>
                <w:szCs w:val="24"/>
              </w:rPr>
              <w:t>Наконец, просьба четко указывать на счете итоговую сумму только по текущему счету. Остатки по предыдущим счетам или данные по предшествующим платежам должны указываться отдельно, если такая информация имеется, по номеру счета, дате счета и сумме.</w:t>
            </w:r>
          </w:p>
          <w:p w:rsidR="00470AA6" w:rsidRPr="00D37973" w:rsidRDefault="00470AA6" w:rsidP="00453FFC">
            <w:pPr>
              <w:autoSpaceDE w:val="0"/>
              <w:autoSpaceDN w:val="0"/>
              <w:adjustRightInd w:val="0"/>
              <w:spacing w:after="0" w:line="240" w:lineRule="auto"/>
              <w:jc w:val="both"/>
              <w:rPr>
                <w:rFonts w:ascii="Times New Roman" w:eastAsia="Times New Roman" w:hAnsi="Times New Roman"/>
                <w:sz w:val="24"/>
                <w:szCs w:val="24"/>
              </w:rPr>
            </w:pPr>
          </w:p>
        </w:tc>
      </w:tr>
    </w:tbl>
    <w:p w:rsidR="009E2453" w:rsidRDefault="009E2453"/>
    <w:sectPr w:rsidR="009E2453" w:rsidSect="009E24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70AA6"/>
    <w:rsid w:val="00061C13"/>
    <w:rsid w:val="00470AA6"/>
    <w:rsid w:val="00787AB3"/>
    <w:rsid w:val="00862A2D"/>
    <w:rsid w:val="009E24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AA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2954</Words>
  <Characters>16842</Characters>
  <Application>Microsoft Office Word</Application>
  <DocSecurity>0</DocSecurity>
  <Lines>140</Lines>
  <Paragraphs>39</Paragraphs>
  <ScaleCrop>false</ScaleCrop>
  <Company>OAO 'ARMZ'</Company>
  <LinksUpToDate>false</LinksUpToDate>
  <CharactersWithSpaces>19757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lyatifova.a.a</dc:creator>
  <cp:keywords/>
  <dc:description/>
  <cp:lastModifiedBy>zaytsev.a.p</cp:lastModifiedBy>
  <cp:revision>2</cp:revision>
  <dcterms:created xsi:type="dcterms:W3CDTF">2011-10-14T06:38:00Z</dcterms:created>
  <dcterms:modified xsi:type="dcterms:W3CDTF">2011-10-14T06:38:00Z</dcterms:modified>
</cp:coreProperties>
</file>