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E722F" w:rsidRDefault="007E722F" w:rsidP="007E722F">
      <w:pPr>
        <w:jc w:val="center"/>
        <w:rPr>
          <w:bCs/>
          <w:sz w:val="28"/>
        </w:rPr>
      </w:pPr>
    </w:p>
    <w:tbl>
      <w:tblPr>
        <w:tblpPr w:leftFromText="180" w:rightFromText="180" w:vertAnchor="page" w:horzAnchor="margin" w:tblpY="1101"/>
        <w:tblW w:w="10173" w:type="dxa"/>
        <w:tblLook w:val="04A0"/>
      </w:tblPr>
      <w:tblGrid>
        <w:gridCol w:w="2093"/>
        <w:gridCol w:w="8080"/>
      </w:tblGrid>
      <w:tr w:rsidR="007E722F" w:rsidTr="007E722F">
        <w:trPr>
          <w:trHeight w:val="1135"/>
        </w:trPr>
        <w:tc>
          <w:tcPr>
            <w:tcW w:w="2093" w:type="dxa"/>
          </w:tcPr>
          <w:p w:rsidR="007E722F" w:rsidRDefault="007E722F">
            <w:pPr>
              <w:rPr>
                <w:sz w:val="28"/>
                <w:szCs w:val="28"/>
                <w:lang w:val="en-US"/>
              </w:rPr>
            </w:pPr>
          </w:p>
        </w:tc>
        <w:tc>
          <w:tcPr>
            <w:tcW w:w="8080" w:type="dxa"/>
          </w:tcPr>
          <w:p w:rsidR="007E722F" w:rsidRDefault="007E722F">
            <w:pPr>
              <w:pStyle w:val="HTML"/>
              <w:suppressAutoHyphens/>
              <w:ind w:left="2302"/>
              <w:jc w:val="right"/>
              <w:rPr>
                <w:rFonts w:ascii="Times New Roman" w:hAnsi="Times New Roman" w:cs="Times New Roman"/>
                <w:bCs/>
                <w:sz w:val="28"/>
                <w:szCs w:val="28"/>
              </w:rPr>
            </w:pPr>
            <w:r>
              <w:rPr>
                <w:rFonts w:ascii="Times New Roman" w:hAnsi="Times New Roman" w:cs="Times New Roman"/>
                <w:bCs/>
                <w:sz w:val="28"/>
                <w:szCs w:val="28"/>
              </w:rPr>
              <w:t>УТВЕРЖДАЮ</w:t>
            </w:r>
          </w:p>
          <w:p w:rsidR="007E722F" w:rsidRDefault="007E722F">
            <w:pPr>
              <w:pStyle w:val="HTML"/>
              <w:suppressAutoHyphens/>
              <w:ind w:left="2302"/>
              <w:jc w:val="right"/>
              <w:rPr>
                <w:rFonts w:ascii="Times New Roman" w:hAnsi="Times New Roman" w:cs="Times New Roman"/>
                <w:sz w:val="28"/>
                <w:szCs w:val="28"/>
              </w:rPr>
            </w:pPr>
          </w:p>
          <w:p w:rsidR="007E722F" w:rsidRDefault="007E722F">
            <w:pPr>
              <w:pStyle w:val="HTML"/>
              <w:suppressAutoHyphens/>
              <w:ind w:left="2302"/>
              <w:jc w:val="right"/>
              <w:rPr>
                <w:rFonts w:ascii="Times New Roman" w:hAnsi="Times New Roman" w:cs="Times New Roman"/>
                <w:sz w:val="28"/>
                <w:szCs w:val="28"/>
              </w:rPr>
            </w:pPr>
            <w:r>
              <w:rPr>
                <w:rFonts w:ascii="Times New Roman" w:hAnsi="Times New Roman" w:cs="Times New Roman"/>
                <w:sz w:val="28"/>
                <w:szCs w:val="28"/>
              </w:rPr>
              <w:t>Исполнительный директор</w:t>
            </w:r>
          </w:p>
          <w:p w:rsidR="007E722F" w:rsidRDefault="007E722F">
            <w:pPr>
              <w:pStyle w:val="HTML"/>
              <w:suppressAutoHyphens/>
              <w:ind w:left="2302"/>
              <w:jc w:val="right"/>
              <w:rPr>
                <w:rFonts w:ascii="Times New Roman" w:hAnsi="Times New Roman" w:cs="Times New Roman"/>
                <w:sz w:val="28"/>
                <w:szCs w:val="28"/>
              </w:rPr>
            </w:pPr>
            <w:r>
              <w:rPr>
                <w:rFonts w:ascii="Times New Roman" w:hAnsi="Times New Roman" w:cs="Times New Roman"/>
                <w:sz w:val="28"/>
                <w:szCs w:val="28"/>
              </w:rPr>
              <w:t>ФГУП «НИИ НПО «ЛУЧ»</w:t>
            </w:r>
          </w:p>
          <w:p w:rsidR="007E722F" w:rsidRDefault="007E722F">
            <w:pPr>
              <w:pStyle w:val="HTML"/>
              <w:suppressAutoHyphens/>
              <w:ind w:left="2302"/>
              <w:jc w:val="right"/>
              <w:rPr>
                <w:rFonts w:ascii="Times New Roman" w:hAnsi="Times New Roman" w:cs="Times New Roman"/>
                <w:sz w:val="28"/>
                <w:szCs w:val="28"/>
              </w:rPr>
            </w:pPr>
          </w:p>
          <w:p w:rsidR="007E722F" w:rsidRDefault="007E722F">
            <w:pPr>
              <w:pStyle w:val="HTML"/>
              <w:suppressAutoHyphens/>
              <w:ind w:left="2302"/>
              <w:jc w:val="right"/>
              <w:rPr>
                <w:rFonts w:ascii="Times New Roman" w:hAnsi="Times New Roman" w:cs="Times New Roman"/>
                <w:sz w:val="28"/>
                <w:szCs w:val="28"/>
              </w:rPr>
            </w:pPr>
            <w:r>
              <w:rPr>
                <w:rFonts w:ascii="Times New Roman" w:hAnsi="Times New Roman" w:cs="Times New Roman"/>
                <w:sz w:val="28"/>
                <w:szCs w:val="28"/>
              </w:rPr>
              <w:t xml:space="preserve"> П.А. Зайцев</w:t>
            </w:r>
          </w:p>
          <w:p w:rsidR="007E722F" w:rsidRDefault="007E722F">
            <w:pPr>
              <w:pStyle w:val="HTML"/>
              <w:suppressAutoHyphens/>
              <w:ind w:left="2302"/>
              <w:jc w:val="right"/>
              <w:rPr>
                <w:rFonts w:ascii="Times New Roman" w:hAnsi="Times New Roman" w:cs="Times New Roman"/>
                <w:sz w:val="28"/>
                <w:szCs w:val="28"/>
              </w:rPr>
            </w:pPr>
            <w:r>
              <w:rPr>
                <w:rFonts w:ascii="Times New Roman" w:hAnsi="Times New Roman" w:cs="Times New Roman"/>
                <w:sz w:val="28"/>
                <w:szCs w:val="28"/>
              </w:rPr>
              <w:t xml:space="preserve"> </w:t>
            </w:r>
          </w:p>
          <w:p w:rsidR="007E722F" w:rsidRDefault="007E722F">
            <w:pPr>
              <w:pStyle w:val="HTML"/>
              <w:suppressAutoHyphens/>
              <w:ind w:left="2302"/>
              <w:jc w:val="right"/>
              <w:rPr>
                <w:rFonts w:ascii="Times New Roman" w:hAnsi="Times New Roman" w:cs="Times New Roman"/>
                <w:sz w:val="28"/>
                <w:szCs w:val="28"/>
              </w:rPr>
            </w:pPr>
            <w:r>
              <w:rPr>
                <w:rFonts w:ascii="Times New Roman" w:hAnsi="Times New Roman" w:cs="Times New Roman"/>
                <w:sz w:val="28"/>
                <w:szCs w:val="28"/>
              </w:rPr>
              <w:t xml:space="preserve"> «10» июля 2014 года</w:t>
            </w:r>
          </w:p>
        </w:tc>
      </w:tr>
    </w:tbl>
    <w:p w:rsidR="007E722F" w:rsidRPr="00324707" w:rsidRDefault="007E722F" w:rsidP="007E722F">
      <w:pPr>
        <w:jc w:val="center"/>
        <w:outlineLvl w:val="0"/>
        <w:rPr>
          <w:szCs w:val="28"/>
        </w:rPr>
      </w:pPr>
    </w:p>
    <w:p w:rsidR="007E722F" w:rsidRPr="007E722F" w:rsidRDefault="007E722F" w:rsidP="007E722F">
      <w:pPr>
        <w:jc w:val="center"/>
        <w:outlineLvl w:val="0"/>
        <w:rPr>
          <w:sz w:val="28"/>
          <w:szCs w:val="28"/>
        </w:rPr>
      </w:pPr>
      <w:r w:rsidRPr="007E722F">
        <w:rPr>
          <w:sz w:val="28"/>
          <w:szCs w:val="28"/>
        </w:rPr>
        <w:t>ИЗВЕЩЕНИЕ О ПРОВЕДЕНИИ КОНКУРСА</w:t>
      </w:r>
    </w:p>
    <w:p w:rsidR="007E722F" w:rsidRDefault="007E722F" w:rsidP="007E722F">
      <w:pPr>
        <w:outlineLvl w:val="0"/>
        <w:rPr>
          <w:bCs/>
          <w:sz w:val="28"/>
          <w:szCs w:val="28"/>
        </w:rPr>
      </w:pPr>
    </w:p>
    <w:p w:rsidR="007E722F" w:rsidRDefault="007E722F" w:rsidP="007E722F">
      <w:pPr>
        <w:jc w:val="center"/>
        <w:rPr>
          <w:sz w:val="28"/>
          <w:szCs w:val="28"/>
        </w:rPr>
      </w:pPr>
      <w:r>
        <w:rPr>
          <w:sz w:val="28"/>
          <w:szCs w:val="28"/>
        </w:rPr>
        <w:t xml:space="preserve">открытый одноэтапный конкурс в электронной форме без квалификационного отбора на право заключения договора на поставку </w:t>
      </w:r>
      <w:r>
        <w:rPr>
          <w:rStyle w:val="style171"/>
          <w:b w:val="0"/>
          <w:color w:val="000000"/>
          <w:sz w:val="28"/>
          <w:szCs w:val="28"/>
        </w:rPr>
        <w:t xml:space="preserve">установки электронно-лучевой сварки типа 6Е120 (или эквивалент) </w:t>
      </w:r>
      <w:r>
        <w:rPr>
          <w:sz w:val="28"/>
          <w:szCs w:val="28"/>
        </w:rPr>
        <w:t>для нужд ФГУП «НИИ НПО» ЛУЧ»</w:t>
      </w:r>
    </w:p>
    <w:p w:rsidR="007E722F" w:rsidRDefault="007E722F" w:rsidP="007E722F">
      <w:pPr>
        <w:jc w:val="center"/>
        <w:outlineLvl w:val="0"/>
        <w:rPr>
          <w:bCs/>
          <w:sz w:val="28"/>
          <w:szCs w:val="28"/>
        </w:rPr>
      </w:pPr>
    </w:p>
    <w:p w:rsidR="007E722F" w:rsidRDefault="007E722F" w:rsidP="007E722F">
      <w:pPr>
        <w:outlineLvl w:val="0"/>
        <w:rPr>
          <w:bCs/>
          <w:sz w:val="28"/>
          <w:szCs w:val="28"/>
        </w:rPr>
      </w:pPr>
    </w:p>
    <w:p w:rsidR="007E722F" w:rsidRDefault="007E722F" w:rsidP="007E722F">
      <w:pPr>
        <w:spacing w:line="276" w:lineRule="auto"/>
        <w:jc w:val="right"/>
        <w:rPr>
          <w:sz w:val="28"/>
        </w:rPr>
      </w:pPr>
      <w:r>
        <w:rPr>
          <w:sz w:val="28"/>
        </w:rPr>
        <w:t>СОГЛАСОВАНО:</w:t>
      </w:r>
    </w:p>
    <w:p w:rsidR="007E722F" w:rsidRDefault="007E722F" w:rsidP="007E722F">
      <w:pPr>
        <w:spacing w:line="276" w:lineRule="auto"/>
        <w:jc w:val="right"/>
        <w:rPr>
          <w:sz w:val="28"/>
        </w:rPr>
      </w:pPr>
      <w:r>
        <w:rPr>
          <w:sz w:val="28"/>
        </w:rPr>
        <w:t>Директор отделения «ТКМ»</w:t>
      </w:r>
    </w:p>
    <w:p w:rsidR="007E722F" w:rsidRDefault="007E722F" w:rsidP="007E722F">
      <w:pPr>
        <w:spacing w:line="276" w:lineRule="auto"/>
        <w:jc w:val="right"/>
        <w:rPr>
          <w:sz w:val="20"/>
        </w:rPr>
      </w:pPr>
    </w:p>
    <w:p w:rsidR="007E722F" w:rsidRDefault="007E722F" w:rsidP="007E722F">
      <w:pPr>
        <w:tabs>
          <w:tab w:val="left" w:pos="4962"/>
          <w:tab w:val="left" w:pos="5245"/>
        </w:tabs>
        <w:spacing w:line="276" w:lineRule="auto"/>
        <w:jc w:val="right"/>
        <w:rPr>
          <w:sz w:val="28"/>
          <w:highlight w:val="yellow"/>
        </w:rPr>
      </w:pPr>
      <w:r>
        <w:rPr>
          <w:sz w:val="28"/>
        </w:rPr>
        <w:t xml:space="preserve">   Ш.Т. Тухватулин</w:t>
      </w:r>
    </w:p>
    <w:p w:rsidR="007E722F" w:rsidRDefault="007E722F" w:rsidP="007E722F">
      <w:pPr>
        <w:spacing w:line="276" w:lineRule="auto"/>
        <w:ind w:left="4800"/>
        <w:jc w:val="right"/>
        <w:rPr>
          <w:sz w:val="28"/>
        </w:rPr>
      </w:pPr>
      <w:r>
        <w:rPr>
          <w:sz w:val="28"/>
        </w:rPr>
        <w:t>«11» июня 2014 г.</w:t>
      </w:r>
    </w:p>
    <w:p w:rsidR="007E722F" w:rsidRDefault="007E722F" w:rsidP="007E722F">
      <w:pPr>
        <w:spacing w:line="276" w:lineRule="auto"/>
        <w:rPr>
          <w:sz w:val="28"/>
        </w:rPr>
      </w:pPr>
    </w:p>
    <w:p w:rsidR="007E722F" w:rsidRDefault="007E722F" w:rsidP="007E722F">
      <w:pPr>
        <w:spacing w:line="276" w:lineRule="auto"/>
        <w:jc w:val="right"/>
        <w:rPr>
          <w:sz w:val="28"/>
        </w:rPr>
      </w:pPr>
      <w:r>
        <w:rPr>
          <w:sz w:val="28"/>
        </w:rPr>
        <w:t xml:space="preserve">Помощник генерального директора </w:t>
      </w:r>
    </w:p>
    <w:p w:rsidR="007E722F" w:rsidRDefault="007E722F" w:rsidP="007E722F">
      <w:pPr>
        <w:spacing w:line="276" w:lineRule="auto"/>
        <w:jc w:val="right"/>
        <w:rPr>
          <w:sz w:val="28"/>
        </w:rPr>
      </w:pPr>
      <w:r>
        <w:rPr>
          <w:sz w:val="28"/>
        </w:rPr>
        <w:t>по закупкам</w:t>
      </w:r>
    </w:p>
    <w:p w:rsidR="007E722F" w:rsidRDefault="007E722F" w:rsidP="007E722F">
      <w:pPr>
        <w:spacing w:line="276" w:lineRule="auto"/>
        <w:jc w:val="right"/>
        <w:rPr>
          <w:sz w:val="28"/>
        </w:rPr>
      </w:pPr>
      <w:r>
        <w:rPr>
          <w:sz w:val="28"/>
        </w:rPr>
        <w:t xml:space="preserve"> А.Г. Новиков</w:t>
      </w:r>
    </w:p>
    <w:p w:rsidR="007E722F" w:rsidRDefault="007E722F" w:rsidP="007E722F">
      <w:pPr>
        <w:spacing w:line="276" w:lineRule="auto"/>
        <w:jc w:val="right"/>
        <w:rPr>
          <w:sz w:val="28"/>
        </w:rPr>
      </w:pPr>
      <w:r>
        <w:rPr>
          <w:sz w:val="28"/>
        </w:rPr>
        <w:t>«11» июня 2014 г.</w:t>
      </w:r>
    </w:p>
    <w:p w:rsidR="007E722F" w:rsidRDefault="007E722F" w:rsidP="007E722F">
      <w:pPr>
        <w:jc w:val="right"/>
      </w:pPr>
    </w:p>
    <w:p w:rsidR="007E722F" w:rsidRDefault="007E722F" w:rsidP="007E722F">
      <w:pPr>
        <w:jc w:val="right"/>
      </w:pPr>
    </w:p>
    <w:p w:rsidR="007E722F" w:rsidRDefault="007E722F" w:rsidP="007E722F">
      <w:pPr>
        <w:suppressAutoHyphens/>
        <w:jc w:val="center"/>
        <w:rPr>
          <w:b/>
        </w:rPr>
      </w:pPr>
      <w:r>
        <w:rPr>
          <w:sz w:val="28"/>
          <w:szCs w:val="28"/>
        </w:rPr>
        <w:t xml:space="preserve">Извещение размещено на официальном сайте Российской Федерации для размещения информации о закупках отдельными видами юридических лиц </w:t>
      </w:r>
      <w:hyperlink r:id="rId5" w:history="1">
        <w:r>
          <w:rPr>
            <w:rStyle w:val="a3"/>
            <w:sz w:val="28"/>
            <w:szCs w:val="28"/>
            <w:lang w:val="en-US"/>
          </w:rPr>
          <w:t>zakupki</w:t>
        </w:r>
        <w:r>
          <w:rPr>
            <w:rStyle w:val="a3"/>
            <w:sz w:val="28"/>
            <w:szCs w:val="28"/>
          </w:rPr>
          <w:t>.</w:t>
        </w:r>
        <w:r>
          <w:rPr>
            <w:rStyle w:val="a3"/>
            <w:sz w:val="28"/>
            <w:szCs w:val="28"/>
            <w:lang w:val="en-US"/>
          </w:rPr>
          <w:t>gov</w:t>
        </w:r>
        <w:r>
          <w:rPr>
            <w:rStyle w:val="a3"/>
            <w:sz w:val="28"/>
            <w:szCs w:val="28"/>
          </w:rPr>
          <w:t>.</w:t>
        </w:r>
        <w:r>
          <w:rPr>
            <w:rStyle w:val="a3"/>
            <w:sz w:val="28"/>
            <w:szCs w:val="28"/>
            <w:lang w:val="en-US"/>
          </w:rPr>
          <w:t>ru</w:t>
        </w:r>
      </w:hyperlink>
      <w:r>
        <w:rPr>
          <w:sz w:val="28"/>
          <w:szCs w:val="28"/>
        </w:rPr>
        <w:t>/223</w:t>
      </w:r>
    </w:p>
    <w:p w:rsidR="007E722F" w:rsidRDefault="007E722F" w:rsidP="007E722F">
      <w:pPr>
        <w:suppressAutoHyphens/>
        <w:jc w:val="center"/>
        <w:rPr>
          <w:sz w:val="28"/>
          <w:szCs w:val="28"/>
        </w:rPr>
      </w:pPr>
    </w:p>
    <w:p w:rsidR="007E722F" w:rsidRDefault="007E722F" w:rsidP="007E722F">
      <w:pPr>
        <w:suppressAutoHyphens/>
        <w:jc w:val="center"/>
        <w:rPr>
          <w:b/>
        </w:rPr>
      </w:pPr>
      <w:r>
        <w:rPr>
          <w:sz w:val="28"/>
          <w:szCs w:val="28"/>
        </w:rPr>
        <w:t xml:space="preserve">Извещение размещено на официальном сайте Госкорпорации «Росатом» </w:t>
      </w:r>
      <w:hyperlink r:id="rId6" w:history="1">
        <w:r>
          <w:rPr>
            <w:rStyle w:val="a3"/>
            <w:sz w:val="28"/>
            <w:szCs w:val="28"/>
            <w:lang w:val="en-US"/>
          </w:rPr>
          <w:t>zakupki</w:t>
        </w:r>
        <w:r>
          <w:rPr>
            <w:rStyle w:val="a3"/>
            <w:sz w:val="28"/>
            <w:szCs w:val="28"/>
          </w:rPr>
          <w:t>.</w:t>
        </w:r>
        <w:r>
          <w:rPr>
            <w:rStyle w:val="a3"/>
            <w:sz w:val="28"/>
            <w:szCs w:val="28"/>
            <w:lang w:val="en-US"/>
          </w:rPr>
          <w:t>rosatom</w:t>
        </w:r>
        <w:r>
          <w:rPr>
            <w:rStyle w:val="a3"/>
            <w:sz w:val="28"/>
            <w:szCs w:val="28"/>
          </w:rPr>
          <w:t>.</w:t>
        </w:r>
        <w:r>
          <w:rPr>
            <w:rStyle w:val="a3"/>
            <w:sz w:val="28"/>
            <w:szCs w:val="28"/>
            <w:lang w:val="en-US"/>
          </w:rPr>
          <w:t>ru</w:t>
        </w:r>
      </w:hyperlink>
      <w:r w:rsidRPr="007E722F">
        <w:rPr>
          <w:sz w:val="28"/>
          <w:szCs w:val="28"/>
        </w:rPr>
        <w:t xml:space="preserve"> </w:t>
      </w:r>
    </w:p>
    <w:p w:rsidR="007E722F" w:rsidRDefault="007E722F" w:rsidP="007E722F">
      <w:pPr>
        <w:rPr>
          <w:b/>
        </w:rPr>
      </w:pPr>
    </w:p>
    <w:p w:rsidR="007E722F" w:rsidRDefault="007E722F" w:rsidP="007E722F">
      <w:pPr>
        <w:jc w:val="center"/>
        <w:rPr>
          <w:b/>
          <w:bCs/>
        </w:rPr>
      </w:pPr>
      <w:r>
        <w:rPr>
          <w:sz w:val="28"/>
          <w:szCs w:val="28"/>
        </w:rPr>
        <w:t xml:space="preserve">Извещение размещено на электронной торговой площадке </w:t>
      </w:r>
      <w:hyperlink r:id="rId7" w:history="1">
        <w:r>
          <w:rPr>
            <w:rStyle w:val="a3"/>
            <w:sz w:val="28"/>
            <w:szCs w:val="28"/>
            <w:lang w:val="en-US"/>
          </w:rPr>
          <w:t>www</w:t>
        </w:r>
        <w:r>
          <w:rPr>
            <w:rStyle w:val="a3"/>
            <w:sz w:val="28"/>
            <w:szCs w:val="28"/>
          </w:rPr>
          <w:t>.</w:t>
        </w:r>
        <w:r>
          <w:rPr>
            <w:rStyle w:val="a3"/>
            <w:sz w:val="28"/>
            <w:szCs w:val="28"/>
            <w:lang w:val="en-US"/>
          </w:rPr>
          <w:t>a</w:t>
        </w:r>
        <w:r>
          <w:rPr>
            <w:rStyle w:val="a3"/>
            <w:sz w:val="28"/>
            <w:szCs w:val="28"/>
          </w:rPr>
          <w:t>-</w:t>
        </w:r>
        <w:r>
          <w:rPr>
            <w:rStyle w:val="a3"/>
            <w:sz w:val="28"/>
            <w:szCs w:val="28"/>
            <w:lang w:val="en-US"/>
          </w:rPr>
          <w:t>k</w:t>
        </w:r>
        <w:r>
          <w:rPr>
            <w:rStyle w:val="a3"/>
            <w:sz w:val="28"/>
            <w:szCs w:val="28"/>
          </w:rPr>
          <w:t>-</w:t>
        </w:r>
        <w:r>
          <w:rPr>
            <w:rStyle w:val="a3"/>
            <w:sz w:val="28"/>
            <w:szCs w:val="28"/>
            <w:lang w:val="en-US"/>
          </w:rPr>
          <w:t>d</w:t>
        </w:r>
        <w:r>
          <w:rPr>
            <w:rStyle w:val="a3"/>
            <w:sz w:val="28"/>
            <w:szCs w:val="28"/>
          </w:rPr>
          <w:t>.</w:t>
        </w:r>
        <w:r>
          <w:rPr>
            <w:rStyle w:val="a3"/>
            <w:sz w:val="28"/>
            <w:szCs w:val="28"/>
            <w:lang w:val="en-US"/>
          </w:rPr>
          <w:t>ru</w:t>
        </w:r>
      </w:hyperlink>
    </w:p>
    <w:p w:rsidR="007E722F" w:rsidRDefault="007E722F" w:rsidP="007E722F">
      <w:pPr>
        <w:jc w:val="center"/>
        <w:rPr>
          <w:b/>
          <w:bCs/>
        </w:rPr>
      </w:pPr>
    </w:p>
    <w:p w:rsidR="007E722F" w:rsidRDefault="007E722F" w:rsidP="007E722F">
      <w:pPr>
        <w:jc w:val="center"/>
        <w:rPr>
          <w:b/>
          <w:bCs/>
        </w:rPr>
      </w:pPr>
    </w:p>
    <w:p w:rsidR="007E722F" w:rsidRPr="00324707" w:rsidRDefault="007E722F" w:rsidP="007E722F">
      <w:pPr>
        <w:jc w:val="center"/>
        <w:rPr>
          <w:sz w:val="28"/>
          <w:szCs w:val="28"/>
        </w:rPr>
      </w:pPr>
      <w:r>
        <w:rPr>
          <w:b/>
          <w:bCs/>
        </w:rPr>
        <w:t>Подольск, 2014 г.</w:t>
      </w:r>
    </w:p>
    <w:p w:rsidR="007E722F" w:rsidRPr="00324707" w:rsidRDefault="007E722F" w:rsidP="007E722F">
      <w:pPr>
        <w:rPr>
          <w:sz w:val="28"/>
        </w:rPr>
      </w:pPr>
      <w:bookmarkStart w:id="0" w:name="_Toc318103488"/>
    </w:p>
    <w:p w:rsidR="007E722F" w:rsidRDefault="007E722F" w:rsidP="007E722F">
      <w:pPr>
        <w:jc w:val="center"/>
        <w:rPr>
          <w:sz w:val="28"/>
        </w:rPr>
      </w:pPr>
    </w:p>
    <w:p w:rsidR="007E722F" w:rsidRDefault="007E722F" w:rsidP="007E722F">
      <w:pPr>
        <w:jc w:val="center"/>
        <w:rPr>
          <w:sz w:val="28"/>
        </w:rPr>
      </w:pPr>
    </w:p>
    <w:bookmarkEnd w:id="0"/>
    <w:p w:rsidR="007E722F" w:rsidRPr="00324707" w:rsidRDefault="007E722F" w:rsidP="007E722F">
      <w:pPr>
        <w:rPr>
          <w:bCs/>
        </w:rPr>
        <w:sectPr w:rsidR="007E722F" w:rsidRPr="00324707">
          <w:pgSz w:w="11907" w:h="16840"/>
          <w:pgMar w:top="1134" w:right="567" w:bottom="1134" w:left="1418" w:header="709" w:footer="624" w:gutter="0"/>
          <w:cols w:space="720"/>
        </w:sectPr>
      </w:pPr>
    </w:p>
    <w:p w:rsidR="007E722F" w:rsidRDefault="007E722F" w:rsidP="007E722F">
      <w:pPr>
        <w:jc w:val="center"/>
        <w:outlineLvl w:val="0"/>
        <w:rPr>
          <w:szCs w:val="28"/>
        </w:rPr>
      </w:pPr>
      <w:bookmarkStart w:id="1" w:name="_Toc383081284"/>
      <w:r>
        <w:rPr>
          <w:szCs w:val="28"/>
        </w:rPr>
        <w:lastRenderedPageBreak/>
        <w:t>ИЗВЕЩЕНИЕ О ПРОВЕДЕНИИ КОНКУРСА</w:t>
      </w:r>
      <w:bookmarkEnd w:id="1"/>
    </w:p>
    <w:p w:rsidR="007E722F" w:rsidRDefault="007E722F" w:rsidP="007E722F">
      <w:pPr>
        <w:tabs>
          <w:tab w:val="left" w:pos="1134"/>
        </w:tabs>
        <w:rPr>
          <w:sz w:val="22"/>
          <w:szCs w:val="28"/>
        </w:rPr>
      </w:pPr>
    </w:p>
    <w:p w:rsidR="007E722F" w:rsidRDefault="007E722F" w:rsidP="007E722F">
      <w:pPr>
        <w:numPr>
          <w:ilvl w:val="0"/>
          <w:numId w:val="2"/>
        </w:numPr>
        <w:tabs>
          <w:tab w:val="clear" w:pos="720"/>
          <w:tab w:val="num" w:pos="480"/>
          <w:tab w:val="left" w:pos="709"/>
        </w:tabs>
        <w:ind w:left="0" w:firstLine="426"/>
        <w:contextualSpacing/>
        <w:jc w:val="both"/>
        <w:rPr>
          <w:b/>
          <w:spacing w:val="-6"/>
        </w:rPr>
      </w:pPr>
      <w:r>
        <w:rPr>
          <w:b/>
          <w:spacing w:val="-6"/>
        </w:rPr>
        <w:t xml:space="preserve">Форма и способ процедуры закупки: </w:t>
      </w:r>
      <w:r>
        <w:t>Открытый одноэтапный конкурс в электронной форме без квалификационного отбора.</w:t>
      </w:r>
    </w:p>
    <w:p w:rsidR="007E722F" w:rsidRDefault="007E722F" w:rsidP="007E722F">
      <w:pPr>
        <w:numPr>
          <w:ilvl w:val="0"/>
          <w:numId w:val="2"/>
        </w:numPr>
        <w:tabs>
          <w:tab w:val="clear" w:pos="720"/>
          <w:tab w:val="num" w:pos="480"/>
          <w:tab w:val="left" w:pos="709"/>
        </w:tabs>
        <w:ind w:left="0" w:firstLine="426"/>
        <w:contextualSpacing/>
        <w:jc w:val="both"/>
        <w:rPr>
          <w:b/>
          <w:spacing w:val="-6"/>
        </w:rPr>
      </w:pPr>
      <w:r>
        <w:rPr>
          <w:b/>
          <w:spacing w:val="-6"/>
        </w:rPr>
        <w:t>Заказчик:</w:t>
      </w:r>
      <w:r>
        <w:rPr>
          <w:spacing w:val="-6"/>
        </w:rPr>
        <w:t xml:space="preserve"> </w:t>
      </w:r>
      <w:r>
        <w:t>Федеральное государственное унитарное предприятие «Научно-исследовательский институт Научно-производственное объединение «ЛУЧ» (ФГУП «НИИ НПО «ЛУЧ»)</w:t>
      </w:r>
    </w:p>
    <w:p w:rsidR="007E722F" w:rsidRDefault="007E722F" w:rsidP="007E722F">
      <w:pPr>
        <w:ind w:firstLine="426"/>
      </w:pPr>
      <w:r>
        <w:rPr>
          <w:b/>
        </w:rPr>
        <w:t>Место нахождения:</w:t>
      </w:r>
      <w:r>
        <w:t xml:space="preserve"> 142100, Россия, Подольск, ул. Железнодорожная, д. 24</w:t>
      </w:r>
    </w:p>
    <w:p w:rsidR="007E722F" w:rsidRDefault="007E722F" w:rsidP="007E722F">
      <w:pPr>
        <w:ind w:firstLine="426"/>
      </w:pPr>
      <w:r>
        <w:rPr>
          <w:b/>
        </w:rPr>
        <w:t>Почтовый адрес:</w:t>
      </w:r>
      <w:r>
        <w:t xml:space="preserve"> 142100, Россия, Подольск, ул. Железнодорожная, д. 24</w:t>
      </w:r>
    </w:p>
    <w:p w:rsidR="007E722F" w:rsidRDefault="007E722F" w:rsidP="007E722F">
      <w:pPr>
        <w:numPr>
          <w:ilvl w:val="0"/>
          <w:numId w:val="2"/>
        </w:numPr>
        <w:tabs>
          <w:tab w:val="clear" w:pos="720"/>
          <w:tab w:val="num" w:pos="480"/>
          <w:tab w:val="left" w:pos="709"/>
        </w:tabs>
        <w:ind w:left="0" w:firstLine="426"/>
        <w:contextualSpacing/>
        <w:jc w:val="both"/>
        <w:rPr>
          <w:b/>
        </w:rPr>
      </w:pPr>
      <w:r>
        <w:rPr>
          <w:b/>
        </w:rPr>
        <w:t xml:space="preserve">Организатор конкурса: </w:t>
      </w:r>
      <w:r>
        <w:t>Федеральное государственное унитарное предприятие «Научно-исследовательский институт Научно-производственное объединение «ЛУЧ» (ФГУП «НИИ НПО «ЛУЧ»)</w:t>
      </w:r>
    </w:p>
    <w:p w:rsidR="007E722F" w:rsidRDefault="007E722F" w:rsidP="007E722F">
      <w:pPr>
        <w:tabs>
          <w:tab w:val="left" w:pos="1134"/>
        </w:tabs>
        <w:ind w:firstLine="426"/>
        <w:jc w:val="both"/>
      </w:pPr>
      <w:r>
        <w:rPr>
          <w:b/>
        </w:rPr>
        <w:t>Место нахождения:</w:t>
      </w:r>
      <w:r>
        <w:t xml:space="preserve"> 142100, Россия, Подольск, ул. Железнодорожная, д. 24</w:t>
      </w:r>
    </w:p>
    <w:p w:rsidR="007E722F" w:rsidRDefault="007E722F" w:rsidP="007E722F">
      <w:pPr>
        <w:tabs>
          <w:tab w:val="left" w:pos="1134"/>
        </w:tabs>
        <w:ind w:firstLine="426"/>
        <w:jc w:val="both"/>
      </w:pPr>
      <w:r>
        <w:rPr>
          <w:b/>
        </w:rPr>
        <w:t>Почтовый адрес:</w:t>
      </w:r>
      <w:r>
        <w:t xml:space="preserve"> 142100, Россия, Подольск, ул. Железнодорожная, д. 24</w:t>
      </w:r>
    </w:p>
    <w:p w:rsidR="007E722F" w:rsidRDefault="007E722F" w:rsidP="007E722F">
      <w:pPr>
        <w:tabs>
          <w:tab w:val="left" w:pos="1134"/>
        </w:tabs>
        <w:ind w:firstLine="426"/>
        <w:jc w:val="both"/>
      </w:pPr>
      <w:r>
        <w:rPr>
          <w:b/>
        </w:rPr>
        <w:t>Контактное лицо:</w:t>
      </w:r>
      <w:r>
        <w:t xml:space="preserve"> Новиков Андрей Геннадьевич</w:t>
      </w:r>
    </w:p>
    <w:p w:rsidR="007E722F" w:rsidRDefault="007E722F" w:rsidP="007E722F">
      <w:pPr>
        <w:tabs>
          <w:tab w:val="left" w:pos="1134"/>
        </w:tabs>
        <w:ind w:firstLine="426"/>
        <w:jc w:val="both"/>
      </w:pPr>
      <w:r>
        <w:t xml:space="preserve">Тел.: 8(495) 510-57-88, 8(4967) 63-66-02 (доб. 30-86, 21-02) </w:t>
      </w:r>
    </w:p>
    <w:p w:rsidR="007E722F" w:rsidRDefault="007E722F" w:rsidP="007E722F">
      <w:pPr>
        <w:tabs>
          <w:tab w:val="left" w:pos="1134"/>
        </w:tabs>
        <w:ind w:firstLine="426"/>
        <w:jc w:val="both"/>
      </w:pPr>
      <w:r>
        <w:t xml:space="preserve">Адрес электронной почты: </w:t>
      </w:r>
      <w:hyperlink r:id="rId8" w:history="1">
        <w:r>
          <w:rPr>
            <w:rStyle w:val="a3"/>
            <w:lang w:val="en-US"/>
          </w:rPr>
          <w:t>agnovikov</w:t>
        </w:r>
        <w:r>
          <w:rPr>
            <w:rStyle w:val="a3"/>
          </w:rPr>
          <w:t>@</w:t>
        </w:r>
        <w:r>
          <w:rPr>
            <w:rStyle w:val="a3"/>
            <w:lang w:val="en-US"/>
          </w:rPr>
          <w:t>luch</w:t>
        </w:r>
        <w:r>
          <w:rPr>
            <w:rStyle w:val="a3"/>
          </w:rPr>
          <w:t>.</w:t>
        </w:r>
        <w:r>
          <w:rPr>
            <w:rStyle w:val="a3"/>
            <w:lang w:val="en-US"/>
          </w:rPr>
          <w:t>podolsk</w:t>
        </w:r>
        <w:r>
          <w:rPr>
            <w:rStyle w:val="a3"/>
          </w:rPr>
          <w:t>.</w:t>
        </w:r>
        <w:r>
          <w:rPr>
            <w:rStyle w:val="a3"/>
            <w:lang w:val="en-US"/>
          </w:rPr>
          <w:t>ru</w:t>
        </w:r>
      </w:hyperlink>
    </w:p>
    <w:p w:rsidR="007E722F" w:rsidRDefault="007E722F" w:rsidP="007E722F">
      <w:pPr>
        <w:numPr>
          <w:ilvl w:val="0"/>
          <w:numId w:val="2"/>
        </w:numPr>
        <w:tabs>
          <w:tab w:val="clear" w:pos="720"/>
          <w:tab w:val="num" w:pos="480"/>
          <w:tab w:val="left" w:pos="709"/>
        </w:tabs>
        <w:ind w:left="0" w:firstLine="426"/>
        <w:contextualSpacing/>
        <w:jc w:val="both"/>
        <w:rPr>
          <w:b/>
        </w:rPr>
      </w:pPr>
      <w:r>
        <w:rPr>
          <w:b/>
        </w:rPr>
        <w:t xml:space="preserve">Предмет договора: </w:t>
      </w:r>
      <w:r>
        <w:t>право заключения договора на</w:t>
      </w:r>
      <w:r>
        <w:rPr>
          <w:b/>
        </w:rPr>
        <w:t xml:space="preserve"> </w:t>
      </w:r>
      <w:r>
        <w:t xml:space="preserve">поставку </w:t>
      </w:r>
      <w:r>
        <w:rPr>
          <w:rStyle w:val="style171"/>
          <w:b w:val="0"/>
          <w:color w:val="000000"/>
        </w:rPr>
        <w:t>установки электронно-лучевой сварки типа 6Е120 (или эквивалент)</w:t>
      </w:r>
      <w:r>
        <w:t>.</w:t>
      </w:r>
    </w:p>
    <w:p w:rsidR="007E722F" w:rsidRDefault="007E722F" w:rsidP="007E722F">
      <w:pPr>
        <w:tabs>
          <w:tab w:val="left" w:pos="1134"/>
        </w:tabs>
        <w:ind w:firstLine="426"/>
        <w:jc w:val="both"/>
      </w:pPr>
      <w:proofErr w:type="gramStart"/>
      <w:r>
        <w:rPr>
          <w:b/>
        </w:rPr>
        <w:t>Состав и объем:</w:t>
      </w:r>
      <w:r>
        <w:t xml:space="preserve"> указаны в </w:t>
      </w:r>
      <w:r>
        <w:rPr>
          <w:bCs/>
        </w:rPr>
        <w:t>Томе 2</w:t>
      </w:r>
      <w:r>
        <w:t xml:space="preserve"> «ТЕХНИЧЕСКАЯ ЧАСТЬ» Конкурсной документации.</w:t>
      </w:r>
      <w:proofErr w:type="gramEnd"/>
    </w:p>
    <w:p w:rsidR="007E722F" w:rsidRDefault="007E722F" w:rsidP="007E722F">
      <w:pPr>
        <w:tabs>
          <w:tab w:val="left" w:pos="1134"/>
        </w:tabs>
        <w:ind w:firstLine="426"/>
        <w:jc w:val="both"/>
        <w:rPr>
          <w:b/>
        </w:rPr>
      </w:pPr>
      <w:r>
        <w:rPr>
          <w:b/>
        </w:rPr>
        <w:t xml:space="preserve">Срок поставки: </w:t>
      </w:r>
      <w:r>
        <w:rPr>
          <w:rStyle w:val="a8"/>
          <w:b w:val="0"/>
          <w:color w:val="000000"/>
        </w:rPr>
        <w:t>не позднее 120 дней с момента оплаты аванса.</w:t>
      </w:r>
    </w:p>
    <w:p w:rsidR="007E722F" w:rsidRDefault="007E722F" w:rsidP="007E722F">
      <w:pPr>
        <w:tabs>
          <w:tab w:val="left" w:pos="1134"/>
        </w:tabs>
        <w:ind w:firstLine="426"/>
        <w:jc w:val="both"/>
        <w:rPr>
          <w:b/>
        </w:rPr>
      </w:pPr>
      <w:r>
        <w:rPr>
          <w:b/>
          <w:u w:val="single"/>
        </w:rPr>
        <w:t xml:space="preserve">Срок действия заявки: не менее 90 календарных дней </w:t>
      </w:r>
      <w:proofErr w:type="gramStart"/>
      <w:r>
        <w:rPr>
          <w:b/>
          <w:u w:val="single"/>
        </w:rPr>
        <w:t>с даты окончания</w:t>
      </w:r>
      <w:proofErr w:type="gramEnd"/>
      <w:r>
        <w:rPr>
          <w:b/>
          <w:u w:val="single"/>
        </w:rPr>
        <w:t xml:space="preserve"> подачи заявок на участие в процедуре закупки.</w:t>
      </w:r>
    </w:p>
    <w:p w:rsidR="007E722F" w:rsidRDefault="007E722F" w:rsidP="007E722F">
      <w:pPr>
        <w:numPr>
          <w:ilvl w:val="0"/>
          <w:numId w:val="2"/>
        </w:numPr>
        <w:tabs>
          <w:tab w:val="clear" w:pos="720"/>
          <w:tab w:val="num" w:pos="480"/>
          <w:tab w:val="left" w:pos="709"/>
        </w:tabs>
        <w:ind w:left="0" w:firstLine="426"/>
        <w:contextualSpacing/>
        <w:jc w:val="both"/>
        <w:rPr>
          <w:b/>
        </w:rPr>
      </w:pPr>
      <w:r>
        <w:rPr>
          <w:b/>
        </w:rPr>
        <w:t xml:space="preserve">Место поставки: </w:t>
      </w:r>
      <w:r>
        <w:t>142100, Россия, Подольск, ул. Железнодорожная, д. 24</w:t>
      </w:r>
    </w:p>
    <w:p w:rsidR="007E722F" w:rsidRDefault="007E722F" w:rsidP="007E722F">
      <w:pPr>
        <w:numPr>
          <w:ilvl w:val="0"/>
          <w:numId w:val="2"/>
        </w:numPr>
        <w:tabs>
          <w:tab w:val="clear" w:pos="720"/>
          <w:tab w:val="num" w:pos="480"/>
          <w:tab w:val="left" w:pos="709"/>
        </w:tabs>
        <w:ind w:left="0" w:firstLine="426"/>
        <w:contextualSpacing/>
        <w:jc w:val="both"/>
        <w:rPr>
          <w:b/>
        </w:rPr>
      </w:pPr>
      <w:r>
        <w:rPr>
          <w:b/>
        </w:rPr>
        <w:t>Сведения о порядке проведения, в том числе об оформлении участия в конкурсе, определении лица, выигравшего конкурс:</w:t>
      </w:r>
    </w:p>
    <w:p w:rsidR="007E722F" w:rsidRDefault="007E722F" w:rsidP="007E722F">
      <w:pPr>
        <w:tabs>
          <w:tab w:val="left" w:pos="851"/>
        </w:tabs>
        <w:ind w:firstLine="426"/>
        <w:jc w:val="both"/>
      </w:pPr>
      <w:r>
        <w:t xml:space="preserve">Конкурс проводится на электронной торговой площадке </w:t>
      </w:r>
      <w:hyperlink r:id="rId9" w:history="1">
        <w:r>
          <w:rPr>
            <w:rStyle w:val="a3"/>
          </w:rPr>
          <w:t>ООО</w:t>
        </w:r>
      </w:hyperlink>
      <w:r>
        <w:t xml:space="preserve"> «Аукционный конкурсный дом»  в сети «Интернет» по адресу: </w:t>
      </w:r>
      <w:hyperlink r:id="rId10" w:history="1">
        <w:r>
          <w:rPr>
            <w:rStyle w:val="a3"/>
            <w:lang w:val="en-US"/>
          </w:rPr>
          <w:t>http</w:t>
        </w:r>
        <w:r>
          <w:rPr>
            <w:rStyle w:val="a3"/>
          </w:rPr>
          <w:t>://</w:t>
        </w:r>
        <w:r>
          <w:rPr>
            <w:rStyle w:val="a3"/>
            <w:lang w:val="en-US"/>
          </w:rPr>
          <w:t>www</w:t>
        </w:r>
        <w:r>
          <w:rPr>
            <w:rStyle w:val="a3"/>
          </w:rPr>
          <w:t>.</w:t>
        </w:r>
        <w:r>
          <w:rPr>
            <w:rStyle w:val="a3"/>
            <w:lang w:val="en-US"/>
          </w:rPr>
          <w:t>a</w:t>
        </w:r>
        <w:r>
          <w:rPr>
            <w:rStyle w:val="a3"/>
          </w:rPr>
          <w:t>-</w:t>
        </w:r>
        <w:r>
          <w:rPr>
            <w:rStyle w:val="a3"/>
            <w:lang w:val="en-US"/>
          </w:rPr>
          <w:t>k</w:t>
        </w:r>
        <w:r>
          <w:rPr>
            <w:rStyle w:val="a3"/>
          </w:rPr>
          <w:t>-</w:t>
        </w:r>
        <w:r>
          <w:rPr>
            <w:rStyle w:val="a3"/>
            <w:lang w:val="en-US"/>
          </w:rPr>
          <w:t>d</w:t>
        </w:r>
        <w:r>
          <w:rPr>
            <w:rStyle w:val="a3"/>
          </w:rPr>
          <w:t>.</w:t>
        </w:r>
        <w:r>
          <w:rPr>
            <w:rStyle w:val="a3"/>
            <w:lang w:val="en-US"/>
          </w:rPr>
          <w:t>ru</w:t>
        </w:r>
      </w:hyperlink>
      <w:r>
        <w:t xml:space="preserve"> в порядке, установленном регламентом данной электронной торговой площадки в соответствии с условиями и требованиями конкурсной документации.</w:t>
      </w:r>
    </w:p>
    <w:p w:rsidR="007E722F" w:rsidRDefault="007E722F" w:rsidP="007E722F">
      <w:pPr>
        <w:tabs>
          <w:tab w:val="left" w:pos="851"/>
        </w:tabs>
        <w:ind w:firstLine="426"/>
        <w:jc w:val="both"/>
      </w:pPr>
      <w:r>
        <w:t>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7E722F" w:rsidRDefault="007E722F" w:rsidP="007E722F">
      <w:pPr>
        <w:tabs>
          <w:tab w:val="left" w:pos="1134"/>
        </w:tabs>
        <w:ind w:firstLine="426"/>
        <w:jc w:val="both"/>
      </w:pPr>
      <w:r>
        <w:t>Победителем конкурса признается, по решению конкурсной комиссии, допущенный участник конкурса, предложивший наилучшие условия исполнения договора, по совокупности критериев, объявленных в конкурсной документации.</w:t>
      </w:r>
    </w:p>
    <w:p w:rsidR="007E722F" w:rsidRDefault="007E722F" w:rsidP="007E722F">
      <w:pPr>
        <w:numPr>
          <w:ilvl w:val="0"/>
          <w:numId w:val="2"/>
        </w:numPr>
        <w:tabs>
          <w:tab w:val="clear" w:pos="720"/>
          <w:tab w:val="num" w:pos="480"/>
          <w:tab w:val="left" w:pos="709"/>
        </w:tabs>
        <w:ind w:left="0" w:firstLine="426"/>
        <w:contextualSpacing/>
        <w:jc w:val="both"/>
      </w:pPr>
      <w:r>
        <w:rPr>
          <w:b/>
        </w:rPr>
        <w:t>Начальная (максимальная) цена договора:</w:t>
      </w:r>
      <w:r>
        <w:t xml:space="preserve"> 14 187 700 рублей,00 копеек включая НДС  </w:t>
      </w:r>
    </w:p>
    <w:p w:rsidR="007E722F" w:rsidRDefault="007E722F" w:rsidP="007E722F">
      <w:pPr>
        <w:tabs>
          <w:tab w:val="left" w:pos="709"/>
        </w:tabs>
        <w:ind w:firstLine="426"/>
        <w:jc w:val="both"/>
      </w:pPr>
      <w:r>
        <w:rPr>
          <w:i/>
          <w:u w:val="single"/>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w:t>
      </w:r>
    </w:p>
    <w:p w:rsidR="007E722F" w:rsidRDefault="007E722F" w:rsidP="007E722F">
      <w:pPr>
        <w:pStyle w:val="a6"/>
        <w:ind w:firstLine="426"/>
        <w:jc w:val="both"/>
        <w:rPr>
          <w:i/>
          <w:u w:val="single"/>
        </w:rPr>
      </w:pPr>
      <w:r>
        <w:rPr>
          <w:i/>
          <w:u w:val="single"/>
        </w:rPr>
        <w:t>Приведение ценовых предложений участников конкурса к единому базису осуществляется путем вычета суммы НДС из цен, предлагаемых участниками конкурса, являющимися плательщиками НДС.</w:t>
      </w:r>
    </w:p>
    <w:p w:rsidR="007E722F" w:rsidRDefault="007E722F" w:rsidP="007E722F">
      <w:pPr>
        <w:pStyle w:val="a4"/>
        <w:numPr>
          <w:ilvl w:val="0"/>
          <w:numId w:val="2"/>
        </w:numPr>
        <w:tabs>
          <w:tab w:val="num" w:pos="0"/>
        </w:tabs>
        <w:ind w:left="0" w:firstLine="414"/>
        <w:jc w:val="both"/>
        <w:rPr>
          <w:b w:val="0"/>
          <w:sz w:val="24"/>
          <w:u w:val="none"/>
        </w:rPr>
      </w:pPr>
      <w:r>
        <w:rPr>
          <w:sz w:val="24"/>
          <w:u w:val="none"/>
        </w:rPr>
        <w:t>Цена договора включает в себя:</w:t>
      </w:r>
      <w:r>
        <w:rPr>
          <w:b w:val="0"/>
          <w:sz w:val="24"/>
          <w:szCs w:val="24"/>
          <w:u w:val="none"/>
        </w:rPr>
        <w:t xml:space="preserve"> </w:t>
      </w:r>
      <w:r>
        <w:rPr>
          <w:b w:val="0"/>
          <w:sz w:val="24"/>
          <w:u w:val="none"/>
        </w:rPr>
        <w:t xml:space="preserve">полностью готовое к эксплуатации оборудование, шеф-монтажные, пусконаладочные работы, обучение (инструктаж) персонала Заказчика, расходы на перевозку, экспедирование, доставку на склад Заказчика расположенного по адресу: Московская обл., г. Подольск, ул. Железнодорожная, д. 24, упаковку, экспедирование, полный комплект технической документации, уплату таможенных пошлин, налогов, сборов и других обязательных платежей которые </w:t>
      </w:r>
      <w:r>
        <w:rPr>
          <w:b w:val="0"/>
          <w:sz w:val="24"/>
          <w:u w:val="none"/>
        </w:rPr>
        <w:lastRenderedPageBreak/>
        <w:t>Поставщик должен выплатить в связи с выполнением обязательств по Договору в соответствии с законодательством Российской Федерации.</w:t>
      </w:r>
    </w:p>
    <w:p w:rsidR="007E722F" w:rsidRDefault="007E722F" w:rsidP="007E722F">
      <w:pPr>
        <w:pStyle w:val="a4"/>
        <w:ind w:firstLine="426"/>
        <w:jc w:val="both"/>
        <w:rPr>
          <w:b w:val="0"/>
          <w:color w:val="000000"/>
          <w:sz w:val="24"/>
          <w:szCs w:val="24"/>
          <w:u w:val="none"/>
        </w:rPr>
      </w:pPr>
    </w:p>
    <w:p w:rsidR="007E722F" w:rsidRDefault="007E722F" w:rsidP="007E722F">
      <w:pPr>
        <w:numPr>
          <w:ilvl w:val="0"/>
          <w:numId w:val="2"/>
        </w:numPr>
        <w:tabs>
          <w:tab w:val="clear" w:pos="720"/>
          <w:tab w:val="num" w:pos="480"/>
          <w:tab w:val="left" w:pos="709"/>
        </w:tabs>
        <w:ind w:left="0" w:firstLine="426"/>
        <w:contextualSpacing/>
        <w:jc w:val="both"/>
        <w:rPr>
          <w:b/>
          <w:spacing w:val="-6"/>
        </w:rPr>
      </w:pPr>
      <w:r>
        <w:rPr>
          <w:b/>
        </w:rPr>
        <w:t xml:space="preserve">Условия оплаты: </w:t>
      </w:r>
      <w:r>
        <w:t>Аванс в размере 50% в течение 10 (десяти) банковских дней после подписания договора обеими сторонами;</w:t>
      </w:r>
    </w:p>
    <w:p w:rsidR="007E722F" w:rsidRDefault="007E722F" w:rsidP="007E722F">
      <w:pPr>
        <w:tabs>
          <w:tab w:val="left" w:pos="709"/>
        </w:tabs>
        <w:ind w:firstLine="426"/>
        <w:jc w:val="both"/>
        <w:rPr>
          <w:szCs w:val="20"/>
        </w:rPr>
      </w:pPr>
      <w:r>
        <w:t>Окончательный расчёт в размере 50% от стоимости оборудования Покупатель осуществляет в течение 20 (двадцати) банковских дней после подписания Сторонами товарной накладной по форме ТОРГ-12, счёта-фактуры, акта приёма-передачи оборудования, акта пусконаладочных работ.</w:t>
      </w:r>
    </w:p>
    <w:p w:rsidR="007E722F" w:rsidRDefault="007E722F" w:rsidP="007E722F">
      <w:pPr>
        <w:numPr>
          <w:ilvl w:val="0"/>
          <w:numId w:val="2"/>
        </w:numPr>
        <w:tabs>
          <w:tab w:val="clear" w:pos="720"/>
          <w:tab w:val="num" w:pos="480"/>
          <w:tab w:val="left" w:pos="709"/>
        </w:tabs>
        <w:ind w:left="0" w:firstLine="426"/>
        <w:contextualSpacing/>
        <w:jc w:val="both"/>
        <w:rPr>
          <w:b/>
          <w:spacing w:val="-6"/>
        </w:rPr>
      </w:pPr>
      <w:r>
        <w:rPr>
          <w:b/>
        </w:rPr>
        <w:t xml:space="preserve"> </w:t>
      </w:r>
      <w:r>
        <w:rPr>
          <w:b/>
          <w:spacing w:val="-6"/>
        </w:rPr>
        <w:t>Срок, место и порядок предоставления конкурсной документации:</w:t>
      </w:r>
    </w:p>
    <w:p w:rsidR="007E722F" w:rsidRDefault="007E722F" w:rsidP="007E722F">
      <w:pPr>
        <w:ind w:firstLine="426"/>
        <w:jc w:val="both"/>
        <w:rPr>
          <w:b/>
          <w:spacing w:val="-6"/>
        </w:rPr>
      </w:pPr>
      <w:proofErr w:type="gramStart"/>
      <w:r>
        <w:rPr>
          <w:spacing w:val="-6"/>
        </w:rPr>
        <w:t xml:space="preserve">На официальном сайте </w:t>
      </w:r>
      <w:r>
        <w:t xml:space="preserve">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1" w:history="1">
        <w:r>
          <w:rPr>
            <w:rStyle w:val="a3"/>
          </w:rPr>
          <w:t>http://www.zakupki.gov.ru</w:t>
        </w:r>
      </w:hyperlink>
      <w:r>
        <w:t>/223, на официальном сайте по закупкам атомной отрасли Госкорпорации «Рос</w:t>
      </w:r>
      <w:r>
        <w:rPr>
          <w:spacing w:val="-6"/>
        </w:rPr>
        <w:t xml:space="preserve">атом»  </w:t>
      </w:r>
      <w:hyperlink r:id="rId12" w:history="1">
        <w:r>
          <w:rPr>
            <w:rStyle w:val="a3"/>
          </w:rPr>
          <w:t>http://zakupki.rosatom.ru</w:t>
        </w:r>
      </w:hyperlink>
      <w:r>
        <w:rPr>
          <w:rStyle w:val="a3"/>
        </w:rPr>
        <w:t xml:space="preserve">  </w:t>
      </w:r>
      <w:r>
        <w:rPr>
          <w:spacing w:val="-6"/>
        </w:rPr>
        <w:t xml:space="preserve">конкурсная документация находится в открытом доступе, начиная </w:t>
      </w:r>
      <w:r>
        <w:t>с даты размещения настоящего извещения и конкурсной документации</w:t>
      </w:r>
      <w:r>
        <w:rPr>
          <w:spacing w:val="-6"/>
        </w:rPr>
        <w:t>.</w:t>
      </w:r>
      <w:proofErr w:type="gramEnd"/>
      <w:r>
        <w:rPr>
          <w:spacing w:val="-6"/>
        </w:rPr>
        <w:t xml:space="preserve"> Порядок получения конкурсной документации на электронной торговой площадке </w:t>
      </w:r>
      <w:hyperlink r:id="rId13" w:history="1">
        <w:r>
          <w:rPr>
            <w:rStyle w:val="a3"/>
          </w:rPr>
          <w:t>ООО</w:t>
        </w:r>
      </w:hyperlink>
      <w:r>
        <w:t xml:space="preserve"> «Аукционный конкурсный дом»</w:t>
      </w:r>
      <w:r>
        <w:rPr>
          <w:spacing w:val="-6"/>
        </w:rPr>
        <w:t xml:space="preserve"> </w:t>
      </w:r>
      <w:hyperlink r:id="rId14" w:history="1">
        <w:r>
          <w:rPr>
            <w:rStyle w:val="a3"/>
            <w:lang w:val="en-US"/>
          </w:rPr>
          <w:t>http</w:t>
        </w:r>
        <w:r>
          <w:rPr>
            <w:rStyle w:val="a3"/>
          </w:rPr>
          <w:t>://</w:t>
        </w:r>
        <w:r>
          <w:rPr>
            <w:rStyle w:val="a3"/>
            <w:lang w:val="en-US"/>
          </w:rPr>
          <w:t>www</w:t>
        </w:r>
        <w:r>
          <w:rPr>
            <w:rStyle w:val="a3"/>
          </w:rPr>
          <w:t>.</w:t>
        </w:r>
        <w:r>
          <w:rPr>
            <w:rStyle w:val="a3"/>
            <w:lang w:val="en-US"/>
          </w:rPr>
          <w:t>a</w:t>
        </w:r>
        <w:r>
          <w:rPr>
            <w:rStyle w:val="a3"/>
          </w:rPr>
          <w:t>-</w:t>
        </w:r>
        <w:r>
          <w:rPr>
            <w:rStyle w:val="a3"/>
            <w:lang w:val="en-US"/>
          </w:rPr>
          <w:t>k</w:t>
        </w:r>
        <w:r>
          <w:rPr>
            <w:rStyle w:val="a3"/>
          </w:rPr>
          <w:t>-</w:t>
        </w:r>
        <w:r>
          <w:rPr>
            <w:rStyle w:val="a3"/>
            <w:lang w:val="en-US"/>
          </w:rPr>
          <w:t>d</w:t>
        </w:r>
        <w:r>
          <w:rPr>
            <w:rStyle w:val="a3"/>
          </w:rPr>
          <w:t>.</w:t>
        </w:r>
        <w:r>
          <w:rPr>
            <w:rStyle w:val="a3"/>
            <w:lang w:val="en-US"/>
          </w:rPr>
          <w:t>ru</w:t>
        </w:r>
      </w:hyperlink>
      <w:r w:rsidRPr="007E722F">
        <w:t xml:space="preserve"> </w:t>
      </w:r>
      <w:r>
        <w:rPr>
          <w:spacing w:val="-6"/>
        </w:rPr>
        <w:t>определяется правилами данной электронной торговой площадки.</w:t>
      </w:r>
    </w:p>
    <w:p w:rsidR="007E722F" w:rsidRDefault="007E722F" w:rsidP="007E722F">
      <w:pPr>
        <w:numPr>
          <w:ilvl w:val="0"/>
          <w:numId w:val="2"/>
        </w:numPr>
        <w:tabs>
          <w:tab w:val="clear" w:pos="720"/>
          <w:tab w:val="num" w:pos="480"/>
          <w:tab w:val="left" w:pos="851"/>
        </w:tabs>
        <w:ind w:left="0" w:firstLine="426"/>
        <w:contextualSpacing/>
        <w:jc w:val="both"/>
        <w:rPr>
          <w:b/>
          <w:i/>
        </w:rPr>
      </w:pPr>
      <w:proofErr w:type="gramStart"/>
      <w:r>
        <w:rPr>
          <w:b/>
        </w:rPr>
        <w:t>Обеспечение заявки на участие в конкурсе:</w:t>
      </w:r>
      <w:r>
        <w:rPr>
          <w:b/>
          <w:i/>
        </w:rPr>
        <w:t xml:space="preserve"> </w:t>
      </w:r>
      <w:r>
        <w:t>заявки участников конкурса в электронной форме должны сопровождаться финансовым обеспечением конкурсной заявки в размере 5 (пять) процентов от начальной (максимальной) цены договора, в виде безотзывной банковской гарантии, выданной банком, либо в форме денежных средств путем их перечисления заказчику на расчетный счет Заказчика по реквизитам, указанным в Информационной карте конкурсной документации.</w:t>
      </w:r>
      <w:proofErr w:type="gramEnd"/>
      <w:r>
        <w:t xml:space="preserve"> Обеспечение заявки на участие в конкурсе в электронной форме должно быть предоставлено в срок, обеспечивающий их поступление на счет получателя не позднее времени и даты окончания подачи заявок на участие в конкурсе в электронной форме.</w:t>
      </w:r>
    </w:p>
    <w:p w:rsidR="007E722F" w:rsidRDefault="007E722F" w:rsidP="007E722F">
      <w:pPr>
        <w:numPr>
          <w:ilvl w:val="0"/>
          <w:numId w:val="2"/>
        </w:numPr>
        <w:tabs>
          <w:tab w:val="clear" w:pos="720"/>
          <w:tab w:val="num" w:pos="480"/>
          <w:tab w:val="left" w:pos="851"/>
        </w:tabs>
        <w:ind w:left="0" w:firstLine="426"/>
        <w:contextualSpacing/>
        <w:jc w:val="both"/>
      </w:pPr>
      <w:r>
        <w:rPr>
          <w:b/>
          <w:spacing w:val="-6"/>
        </w:rPr>
        <w:t xml:space="preserve">Возможность проведения процедуры переторжки по снижению </w:t>
      </w:r>
      <w:r>
        <w:rPr>
          <w:b/>
        </w:rPr>
        <w:t>первоначально указанной в заявке на участие в конкурсе цены:</w:t>
      </w:r>
      <w:r>
        <w:rPr>
          <w:spacing w:val="-6"/>
        </w:rPr>
        <w:t xml:space="preserve"> Предусмотрена.</w:t>
      </w:r>
    </w:p>
    <w:p w:rsidR="007E722F" w:rsidRDefault="007E722F" w:rsidP="007E722F">
      <w:pPr>
        <w:numPr>
          <w:ilvl w:val="0"/>
          <w:numId w:val="2"/>
        </w:numPr>
        <w:tabs>
          <w:tab w:val="clear" w:pos="720"/>
          <w:tab w:val="num" w:pos="480"/>
          <w:tab w:val="left" w:pos="851"/>
        </w:tabs>
        <w:ind w:left="0" w:firstLine="426"/>
        <w:contextualSpacing/>
        <w:jc w:val="both"/>
        <w:rPr>
          <w:b/>
          <w:i/>
          <w:color w:val="FF0000"/>
        </w:rPr>
      </w:pPr>
      <w:r>
        <w:rPr>
          <w:b/>
          <w:spacing w:val="-6"/>
        </w:rPr>
        <w:t xml:space="preserve">Место, дата и время открытия доступа к поданным заявкам на участие в конкурсе: </w:t>
      </w:r>
      <w:r>
        <w:rPr>
          <w:spacing w:val="-6"/>
        </w:rPr>
        <w:t>10-00 часов (время московское), «1</w:t>
      </w:r>
      <w:r w:rsidR="00324707" w:rsidRPr="00324707">
        <w:rPr>
          <w:spacing w:val="-6"/>
        </w:rPr>
        <w:t>8</w:t>
      </w:r>
      <w:r>
        <w:rPr>
          <w:spacing w:val="-6"/>
        </w:rPr>
        <w:t>» августа 2014 г. по адресу г. Подольск, ул. Железнодорожная, д. 24.</w:t>
      </w:r>
    </w:p>
    <w:p w:rsidR="007E722F" w:rsidRDefault="007E722F" w:rsidP="007E722F">
      <w:pPr>
        <w:numPr>
          <w:ilvl w:val="0"/>
          <w:numId w:val="2"/>
        </w:numPr>
        <w:tabs>
          <w:tab w:val="clear" w:pos="720"/>
          <w:tab w:val="num" w:pos="480"/>
          <w:tab w:val="left" w:pos="851"/>
        </w:tabs>
        <w:ind w:left="0" w:firstLine="426"/>
        <w:contextualSpacing/>
        <w:jc w:val="both"/>
        <w:rPr>
          <w:b/>
          <w:spacing w:val="-6"/>
        </w:rPr>
      </w:pPr>
      <w:r>
        <w:rPr>
          <w:b/>
          <w:spacing w:val="-6"/>
        </w:rPr>
        <w:t>Место и дата проведения отборочной стадии</w:t>
      </w:r>
      <w:r>
        <w:rPr>
          <w:spacing w:val="-6"/>
        </w:rPr>
        <w:t>: 11-00 часов (время московское), «22» августа 2014 г. по адресу г. Подольск, ул. Железнодорожная, д. 24.</w:t>
      </w:r>
    </w:p>
    <w:p w:rsidR="007E722F" w:rsidRDefault="007E722F" w:rsidP="007E722F">
      <w:pPr>
        <w:numPr>
          <w:ilvl w:val="0"/>
          <w:numId w:val="2"/>
        </w:numPr>
        <w:tabs>
          <w:tab w:val="clear" w:pos="720"/>
          <w:tab w:val="num" w:pos="480"/>
          <w:tab w:val="left" w:pos="851"/>
        </w:tabs>
        <w:ind w:left="0" w:firstLine="426"/>
        <w:contextualSpacing/>
        <w:jc w:val="both"/>
        <w:rPr>
          <w:b/>
          <w:spacing w:val="-6"/>
        </w:rPr>
      </w:pPr>
      <w:r>
        <w:rPr>
          <w:b/>
          <w:spacing w:val="-6"/>
        </w:rPr>
        <w:t>Место и дата подведения итогов конкурса</w:t>
      </w:r>
      <w:r>
        <w:rPr>
          <w:spacing w:val="-6"/>
        </w:rPr>
        <w:t>: 11-00 часов (время московское), «29» августа  2014 г. по адресу г. Подольск, ул. Железнодорожная, д. 24.</w:t>
      </w:r>
      <w:r>
        <w:rPr>
          <w:i/>
        </w:rPr>
        <w:t xml:space="preserve"> </w:t>
      </w:r>
    </w:p>
    <w:p w:rsidR="007E722F" w:rsidRDefault="007E722F" w:rsidP="007E722F">
      <w:pPr>
        <w:numPr>
          <w:ilvl w:val="0"/>
          <w:numId w:val="2"/>
        </w:numPr>
        <w:tabs>
          <w:tab w:val="clear" w:pos="720"/>
          <w:tab w:val="num" w:pos="480"/>
          <w:tab w:val="left" w:pos="851"/>
        </w:tabs>
        <w:ind w:left="0" w:firstLine="426"/>
        <w:contextualSpacing/>
        <w:jc w:val="both"/>
        <w:rPr>
          <w:b/>
          <w:spacing w:val="-6"/>
        </w:rPr>
      </w:pPr>
      <w:r>
        <w:rPr>
          <w:b/>
          <w:spacing w:val="-6"/>
        </w:rPr>
        <w:t xml:space="preserve">Срок заключения договора после определения победителя конкурса </w:t>
      </w:r>
    </w:p>
    <w:p w:rsidR="007E722F" w:rsidRDefault="007E722F" w:rsidP="007E722F">
      <w:pPr>
        <w:tabs>
          <w:tab w:val="left" w:pos="1134"/>
        </w:tabs>
        <w:ind w:firstLine="426"/>
        <w:jc w:val="both"/>
        <w:rPr>
          <w:spacing w:val="-6"/>
        </w:rPr>
      </w:pPr>
      <w:proofErr w:type="gramStart"/>
      <w:r>
        <w:t xml:space="preserve">Заказчик в течение </w:t>
      </w:r>
      <w:r>
        <w:rPr>
          <w:bCs/>
          <w:iCs/>
        </w:rPr>
        <w:t>3 (трех) рабочих дней</w:t>
      </w:r>
      <w:r>
        <w:t xml:space="preserve"> со дня размещения протокола заседания закупочной комиссии по подведению итогов конкурса на официальном сайте и ЭТП передает победителю конкурса проект договора, который составляется путем включения условий исполнения договора, предложенных победителем конкурса в заявке на участие в конкурсе, в проект договора, прилагаемый к документации конкурса.</w:t>
      </w:r>
      <w:proofErr w:type="gramEnd"/>
      <w:r>
        <w:t xml:space="preserve"> Победитель конкурса обязан предоставить заказчику подписанный и заверенный печатью со стороны победителя конкурса договор </w:t>
      </w:r>
      <w:r>
        <w:rPr>
          <w:bCs/>
          <w:iCs/>
        </w:rPr>
        <w:t>в течение 10 (десяти) дней</w:t>
      </w:r>
      <w:r>
        <w:t xml:space="preserve"> со дня направления указанного договора.</w:t>
      </w:r>
    </w:p>
    <w:p w:rsidR="007E722F" w:rsidRDefault="007E722F" w:rsidP="007E722F">
      <w:pPr>
        <w:tabs>
          <w:tab w:val="left" w:pos="851"/>
        </w:tabs>
        <w:ind w:right="153" w:firstLine="426"/>
        <w:contextualSpacing/>
        <w:jc w:val="both"/>
      </w:pPr>
      <w:r>
        <w:rPr>
          <w:bCs/>
        </w:rPr>
        <w:t>Д</w:t>
      </w:r>
      <w:r>
        <w:t xml:space="preserve">оговор заключается в течение </w:t>
      </w:r>
      <w:r>
        <w:rPr>
          <w:bCs/>
        </w:rPr>
        <w:t xml:space="preserve">20 </w:t>
      </w:r>
      <w:r>
        <w:t>дней, но не ранее 10 дней со дня размещения на официальном сайте протокола оценки и сопоставления заявок на участие в конкурсе.</w:t>
      </w:r>
    </w:p>
    <w:p w:rsidR="007E722F" w:rsidRDefault="007E722F" w:rsidP="007E722F">
      <w:pPr>
        <w:ind w:right="153" w:firstLine="426"/>
        <w:jc w:val="both"/>
        <w:rPr>
          <w:bCs/>
        </w:rPr>
      </w:pPr>
      <w:r>
        <w:t>Если подписание договора затягивается (по сравнению с плановой датой заключения договора) вследствие рассмотрения жалобы в ЦАК, АК дивизиона или Федеральной антимонопольной службе России, срок заключения договора может продлеваться на количество дней рассмотрения жалобы сверх нормативного срока.</w:t>
      </w:r>
    </w:p>
    <w:p w:rsidR="007E722F" w:rsidRDefault="007E722F" w:rsidP="007E722F">
      <w:pPr>
        <w:tabs>
          <w:tab w:val="left" w:pos="851"/>
        </w:tabs>
        <w:ind w:firstLine="426"/>
        <w:jc w:val="both"/>
      </w:pPr>
      <w:r>
        <w:rPr>
          <w:spacing w:val="-6"/>
        </w:rPr>
        <w:lastRenderedPageBreak/>
        <w:t>До заключения договора, победитель конкурса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конкурса справки, подтверждающей актуальность информации – не ранее 5 (пяти) дней до заключения договора (с двух сторон).</w:t>
      </w:r>
    </w:p>
    <w:p w:rsidR="007E722F" w:rsidRDefault="007E722F" w:rsidP="007E722F">
      <w:pPr>
        <w:numPr>
          <w:ilvl w:val="0"/>
          <w:numId w:val="2"/>
        </w:numPr>
        <w:tabs>
          <w:tab w:val="clear" w:pos="720"/>
          <w:tab w:val="num" w:pos="480"/>
          <w:tab w:val="left" w:pos="851"/>
        </w:tabs>
        <w:ind w:left="0" w:firstLine="426"/>
        <w:contextualSpacing/>
        <w:jc w:val="both"/>
        <w:rPr>
          <w:spacing w:val="-6"/>
        </w:rPr>
      </w:pPr>
      <w:r>
        <w:rPr>
          <w:b/>
          <w:spacing w:val="-6"/>
        </w:rPr>
        <w:t>Форма, размер и срок предоставления обеспечения исполнения обязательств по договору</w:t>
      </w:r>
      <w:r>
        <w:rPr>
          <w:spacing w:val="-6"/>
        </w:rPr>
        <w:t xml:space="preserve"> </w:t>
      </w:r>
    </w:p>
    <w:p w:rsidR="007E722F" w:rsidRDefault="007E722F" w:rsidP="007E722F">
      <w:pPr>
        <w:pStyle w:val="a6"/>
        <w:ind w:firstLine="426"/>
        <w:jc w:val="both"/>
        <w:rPr>
          <w:color w:val="FF0000"/>
        </w:rPr>
      </w:pPr>
      <w:proofErr w:type="gramStart"/>
      <w:r>
        <w:rPr>
          <w:b/>
        </w:rPr>
        <w:t>- исполнение обязательств по договору, кроме гарантийных обязательств (обеспечение договора) (п.п. 12.9.1.б. ЕОСЗ ГК «Росатом»), форма обеспечения договора:</w:t>
      </w:r>
      <w:r>
        <w:t xml:space="preserve"> безотзывная банковская гарантия, выданная банком или в форме денежных средств путем их перечисления заказчику (п. 12.9.14 ЕОСЗ ГК «Росатом»), размер обеспечения договора: 10% цены договора, заключаемого по результатам закупки (п.п. 12.9.8.</w:t>
      </w:r>
      <w:proofErr w:type="gramEnd"/>
      <w:r>
        <w:t xml:space="preserve"> </w:t>
      </w:r>
      <w:proofErr w:type="gramStart"/>
      <w:r>
        <w:t>ЕОСЗ ГК «Росатом») Срок действия обеспечения договора должен составлять срок исполнения обязательств по договору плюс 60 дней (п.12.9.9 ЕОСЗ ГК «Росатом») или предоставить договор-залог на сумму обеспечения исполнения обязательств по договору.</w:t>
      </w:r>
      <w:proofErr w:type="gramEnd"/>
    </w:p>
    <w:p w:rsidR="007E722F" w:rsidRDefault="007E722F" w:rsidP="007E722F">
      <w:pPr>
        <w:pStyle w:val="a6"/>
        <w:ind w:firstLine="426"/>
        <w:jc w:val="both"/>
      </w:pPr>
      <w:proofErr w:type="gramStart"/>
      <w:r>
        <w:rPr>
          <w:b/>
        </w:rPr>
        <w:t>- обеспечение возврата аванса (п.п. 12.9.1.а, 12.9.3.</w:t>
      </w:r>
      <w:proofErr w:type="gramEnd"/>
      <w:r>
        <w:rPr>
          <w:b/>
        </w:rPr>
        <w:t xml:space="preserve"> </w:t>
      </w:r>
      <w:proofErr w:type="gramStart"/>
      <w:r>
        <w:rPr>
          <w:b/>
        </w:rPr>
        <w:t>ЕОСЗ ГК «Росатом»),  форма обеспечения возврата аванса:</w:t>
      </w:r>
      <w:r>
        <w:t xml:space="preserve"> безотзывная банковская гарантия выданная банком, в форме денежных средств путем их перечисления заказчику (п. 12.9.14 ЕОСЗ ГК «Росатом») в сумме аванса – 50% от стоимости договора заявленной победителем конкурентной процедуры.</w:t>
      </w:r>
      <w:proofErr w:type="gramEnd"/>
      <w:r>
        <w:t xml:space="preserve"> Срок действия обеспечения возврата аванса должен составлять срок исполнения обязательств на сумму выплаченного аванса плюс 60 дней (п.12.9.5 ЕОСЗ ГК «Росатом»).</w:t>
      </w:r>
    </w:p>
    <w:p w:rsidR="007E722F" w:rsidRDefault="007E722F" w:rsidP="007E722F">
      <w:pPr>
        <w:pStyle w:val="a6"/>
        <w:ind w:firstLine="426"/>
        <w:jc w:val="both"/>
        <w:rPr>
          <w:b/>
        </w:rPr>
      </w:pPr>
      <w:r>
        <w:rPr>
          <w:b/>
        </w:rPr>
        <w:t>Участник закупки, вправе в заявке:</w:t>
      </w:r>
    </w:p>
    <w:p w:rsidR="007E722F" w:rsidRDefault="007E722F" w:rsidP="007E722F">
      <w:pPr>
        <w:pStyle w:val="a6"/>
        <w:numPr>
          <w:ilvl w:val="0"/>
          <w:numId w:val="3"/>
        </w:numPr>
        <w:ind w:left="0" w:firstLine="426"/>
        <w:jc w:val="both"/>
      </w:pPr>
      <w:r>
        <w:t>уменьшить размер аванса по сравнению с размером, указанным в документации о закупке. В случае заключения с этим участником договора предоставление обеспечения возврата аванса осуществляется в размере аванса, предложенного таким участником в его заявке;</w:t>
      </w:r>
    </w:p>
    <w:p w:rsidR="007E722F" w:rsidRDefault="007E722F" w:rsidP="007E722F">
      <w:pPr>
        <w:pStyle w:val="a6"/>
        <w:numPr>
          <w:ilvl w:val="0"/>
          <w:numId w:val="3"/>
        </w:numPr>
        <w:ind w:left="0" w:firstLine="426"/>
        <w:jc w:val="both"/>
      </w:pPr>
      <w:r>
        <w:t xml:space="preserve">отказаться от получения аванса. В случае заключения с этим участником договора предоставление обеспечения возврата аванса не требуется (п. 12.9.6 ЕОСЗ ГК «Росатом»). </w:t>
      </w:r>
    </w:p>
    <w:p w:rsidR="007E722F" w:rsidRDefault="007E722F" w:rsidP="007E722F">
      <w:pPr>
        <w:pStyle w:val="-6"/>
        <w:tabs>
          <w:tab w:val="clear" w:pos="1701"/>
          <w:tab w:val="left" w:pos="1985"/>
        </w:tabs>
        <w:spacing w:line="240" w:lineRule="auto"/>
        <w:ind w:firstLine="426"/>
        <w:rPr>
          <w:sz w:val="24"/>
        </w:rPr>
      </w:pPr>
      <w:r>
        <w:rPr>
          <w:b/>
          <w:sz w:val="24"/>
        </w:rPr>
        <w:t>Возможность уменьшения или отказа от аванса:</w:t>
      </w:r>
      <w:r>
        <w:rPr>
          <w:sz w:val="24"/>
        </w:rPr>
        <w:t xml:space="preserve"> установлена.</w:t>
      </w:r>
    </w:p>
    <w:p w:rsidR="007E722F" w:rsidRDefault="007E722F" w:rsidP="007E722F">
      <w:pPr>
        <w:tabs>
          <w:tab w:val="left" w:pos="1134"/>
        </w:tabs>
        <w:ind w:firstLine="426"/>
        <w:jc w:val="both"/>
        <w:rPr>
          <w:b/>
          <w:u w:val="single"/>
        </w:rPr>
      </w:pPr>
      <w:r>
        <w:rPr>
          <w:b/>
          <w:u w:val="single"/>
        </w:rPr>
        <w:t>Обеспечения исполнения договора должно быть предоставлено лицом, с которым заключается договор, до заключения договора, но не ранее 10 дней со дня размещения на официальном сайте протокола, на основании которого заключается такой договор (п. 12.9.16 ЕОСЗ ГК «Росатом»).</w:t>
      </w:r>
    </w:p>
    <w:p w:rsidR="007E722F" w:rsidRDefault="007E722F" w:rsidP="007E722F">
      <w:pPr>
        <w:tabs>
          <w:tab w:val="left" w:pos="993"/>
        </w:tabs>
        <w:ind w:firstLine="426"/>
        <w:jc w:val="both"/>
        <w:rPr>
          <w:b/>
        </w:rPr>
      </w:pPr>
      <w:r>
        <w:rPr>
          <w:b/>
        </w:rPr>
        <w:t xml:space="preserve">На основании приказа Госкорпорации «Росатом» №1/768-П от 22.08.2012г. </w:t>
      </w:r>
    </w:p>
    <w:p w:rsidR="007E722F" w:rsidRDefault="007E722F" w:rsidP="007E722F">
      <w:pPr>
        <w:pStyle w:val="a6"/>
        <w:ind w:firstLine="426"/>
        <w:jc w:val="both"/>
      </w:pPr>
      <w:r>
        <w:t>1. Требования к поручителям и гарантам,</w:t>
      </w:r>
      <w:r>
        <w:rPr>
          <w:b/>
        </w:rPr>
        <w:t xml:space="preserve"> </w:t>
      </w:r>
      <w:r>
        <w:t>необходимые  для установления единого подхода к обращению с поручительствами и банковскими гарантиями Госкорпорации «Росатом» и ее организаций при осуществлении закупочной деятельности для снижения финансовых рисков Госкорпорации «Росатом» и ее организаций, связанных с выплатой авансов, стимулирования повышения ответственности контрагентов за надлежащее исполнение договорных обязательств.</w:t>
      </w:r>
    </w:p>
    <w:p w:rsidR="007E722F" w:rsidRDefault="007E722F" w:rsidP="007E722F">
      <w:pPr>
        <w:pStyle w:val="a6"/>
        <w:ind w:firstLine="426"/>
        <w:jc w:val="both"/>
      </w:pPr>
      <w:r>
        <w:t>1.1. Требования к поручителям, предоставляющим финансовое обеспечение договорных обязательств Госкорпорации «Росатом» и ее организаций</w:t>
      </w:r>
    </w:p>
    <w:p w:rsidR="007E722F" w:rsidRDefault="007E722F" w:rsidP="007E722F">
      <w:pPr>
        <w:pStyle w:val="a6"/>
        <w:ind w:firstLine="426"/>
        <w:jc w:val="both"/>
      </w:pPr>
      <w:proofErr w:type="gramStart"/>
      <w:r>
        <w:t xml:space="preserve">Поручительства принимаются от лиц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proofErr w:type="spellStart"/>
      <w:r>
        <w:t>Standard</w:t>
      </w:r>
      <w:proofErr w:type="spellEnd"/>
      <w:r>
        <w:t xml:space="preserve"> &amp; </w:t>
      </w:r>
      <w:proofErr w:type="spellStart"/>
      <w:r>
        <w:t>Poor’s</w:t>
      </w:r>
      <w:proofErr w:type="spellEnd"/>
      <w:r>
        <w:t xml:space="preserve"> (www.standardandpoors.com), </w:t>
      </w:r>
      <w:proofErr w:type="spellStart"/>
      <w:r>
        <w:t>Moody’s</w:t>
      </w:r>
      <w:proofErr w:type="spellEnd"/>
      <w:r>
        <w:t xml:space="preserve"> </w:t>
      </w:r>
      <w:proofErr w:type="spellStart"/>
      <w:r>
        <w:t>Investors</w:t>
      </w:r>
      <w:proofErr w:type="spellEnd"/>
      <w:r>
        <w:t xml:space="preserve"> </w:t>
      </w:r>
      <w:proofErr w:type="spellStart"/>
      <w:r>
        <w:t>Service</w:t>
      </w:r>
      <w:proofErr w:type="spellEnd"/>
      <w:r>
        <w:t xml:space="preserve"> (www.moodys.com) или </w:t>
      </w:r>
      <w:proofErr w:type="spellStart"/>
      <w:r>
        <w:t>Fitch</w:t>
      </w:r>
      <w:proofErr w:type="spellEnd"/>
      <w:r>
        <w:t xml:space="preserve"> </w:t>
      </w:r>
      <w:proofErr w:type="spellStart"/>
      <w:r>
        <w:t>Ratings</w:t>
      </w:r>
      <w:proofErr w:type="spellEnd"/>
      <w:r>
        <w:t xml:space="preserve"> (www.fitchratings.com) на уровне суверенного кредитного рейтинга Российской</w:t>
      </w:r>
      <w:proofErr w:type="gramEnd"/>
      <w:r>
        <w:t xml:space="preserve"> Федерации, присвоенного по международной шкале соответствующего агентства (</w:t>
      </w:r>
      <w:proofErr w:type="spellStart"/>
      <w:r>
        <w:t>Standard</w:t>
      </w:r>
      <w:proofErr w:type="spellEnd"/>
      <w:r>
        <w:t xml:space="preserve"> &amp; </w:t>
      </w:r>
      <w:proofErr w:type="spellStart"/>
      <w:r>
        <w:t>Poor’s</w:t>
      </w:r>
      <w:proofErr w:type="spellEnd"/>
      <w:r>
        <w:t xml:space="preserve">, </w:t>
      </w:r>
      <w:proofErr w:type="spellStart"/>
      <w:r>
        <w:t>Fitch</w:t>
      </w:r>
      <w:proofErr w:type="spellEnd"/>
      <w:r>
        <w:t xml:space="preserve"> </w:t>
      </w:r>
      <w:proofErr w:type="spellStart"/>
      <w:r>
        <w:t>Ratings</w:t>
      </w:r>
      <w:proofErr w:type="spellEnd"/>
      <w:r>
        <w:t xml:space="preserve">, </w:t>
      </w:r>
      <w:proofErr w:type="spellStart"/>
      <w:r>
        <w:t>Moody’s</w:t>
      </w:r>
      <w:proofErr w:type="spellEnd"/>
      <w:r>
        <w:t xml:space="preserve"> </w:t>
      </w:r>
      <w:proofErr w:type="spellStart"/>
      <w:r>
        <w:t>Investors</w:t>
      </w:r>
      <w:proofErr w:type="spellEnd"/>
      <w:r>
        <w:t xml:space="preserve"> </w:t>
      </w:r>
      <w:proofErr w:type="spellStart"/>
      <w:r>
        <w:t>Service</w:t>
      </w:r>
      <w:proofErr w:type="spellEnd"/>
      <w:r>
        <w:t xml:space="preserve">). Указанные рейтинги должны </w:t>
      </w:r>
      <w:r>
        <w:lastRenderedPageBreak/>
        <w:t>быть действительными и не должны находиться в состоянии «отозван» или «приостановлен»</w:t>
      </w:r>
      <w:r>
        <w:rPr>
          <w:bCs/>
          <w:kern w:val="28"/>
        </w:rPr>
        <w:t xml:space="preserve">. </w:t>
      </w:r>
    </w:p>
    <w:p w:rsidR="007E722F" w:rsidRDefault="007E722F" w:rsidP="007E722F">
      <w:pPr>
        <w:pStyle w:val="a6"/>
        <w:ind w:firstLine="426"/>
        <w:jc w:val="both"/>
      </w:pPr>
      <w:r>
        <w:t>При налич</w:t>
      </w:r>
      <w:proofErr w:type="gramStart"/>
      <w:r>
        <w:t>ии у о</w:t>
      </w:r>
      <w:proofErr w:type="gramEnd"/>
      <w:r>
        <w:t xml:space="preserve">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 </w:t>
      </w:r>
    </w:p>
    <w:p w:rsidR="007E722F" w:rsidRDefault="007E722F" w:rsidP="007E722F">
      <w:pPr>
        <w:pStyle w:val="a6"/>
        <w:ind w:firstLine="426"/>
        <w:jc w:val="both"/>
      </w:pPr>
      <w: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7E722F" w:rsidRDefault="007E722F" w:rsidP="007E722F">
      <w:pPr>
        <w:pStyle w:val="a6"/>
        <w:ind w:firstLine="426"/>
        <w:jc w:val="both"/>
      </w:pPr>
      <w:r>
        <w:t>Срок действия поручительства должен превышать срок основного обязательства, в обеспечение которого оно выдается, не менее чем на 60 (шестьдесят) дней.</w:t>
      </w:r>
    </w:p>
    <w:p w:rsidR="007E722F" w:rsidRDefault="007E722F" w:rsidP="007E722F">
      <w:pPr>
        <w:pStyle w:val="a6"/>
        <w:ind w:firstLine="426"/>
        <w:jc w:val="both"/>
        <w:rPr>
          <w:kern w:val="28"/>
        </w:rPr>
      </w:pPr>
      <w:r>
        <w:rPr>
          <w:kern w:val="28"/>
        </w:rPr>
        <w:t>1.2. Требования к гарантам, предоставляющим финансовое обеспечение договорных обязательств Госкорпорации «Росатом» и ее организаций</w:t>
      </w:r>
    </w:p>
    <w:p w:rsidR="007E722F" w:rsidRDefault="007E722F" w:rsidP="007E722F">
      <w:pPr>
        <w:pStyle w:val="a6"/>
        <w:ind w:firstLine="426"/>
        <w:jc w:val="both"/>
        <w:rPr>
          <w:kern w:val="28"/>
        </w:rPr>
      </w:pPr>
      <w:r>
        <w:rPr>
          <w:kern w:val="28"/>
        </w:rPr>
        <w:t>1.2.1. С целью снижения финансовых рисков Госкорпорация «Росатом» и ее организации принимают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Госкорпорацией «Росатом» и действующих на дату получения обеспечения:</w:t>
      </w:r>
    </w:p>
    <w:p w:rsidR="007E722F" w:rsidRDefault="007E722F" w:rsidP="007E722F">
      <w:pPr>
        <w:pStyle w:val="a6"/>
        <w:ind w:firstLine="426"/>
        <w:jc w:val="both"/>
        <w:rPr>
          <w:kern w:val="28"/>
        </w:rPr>
      </w:pPr>
      <w:r>
        <w:rPr>
          <w:kern w:val="28"/>
        </w:rPr>
        <w:t>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разрешающего выдачу банковских гарантий;</w:t>
      </w:r>
    </w:p>
    <w:p w:rsidR="007E722F" w:rsidRDefault="007E722F" w:rsidP="007E722F">
      <w:pPr>
        <w:pStyle w:val="a6"/>
        <w:ind w:firstLine="426"/>
        <w:jc w:val="both"/>
        <w:rPr>
          <w:kern w:val="28"/>
        </w:rPr>
      </w:pPr>
      <w:r>
        <w:rPr>
          <w:kern w:val="28"/>
        </w:rPr>
        <w:t>наличие в системе страхования вкладов (в случае если банковскую гарантию предоставляет российский банк);</w:t>
      </w:r>
    </w:p>
    <w:p w:rsidR="007E722F" w:rsidRDefault="007E722F" w:rsidP="007E722F">
      <w:pPr>
        <w:pStyle w:val="a6"/>
        <w:ind w:firstLine="426"/>
        <w:jc w:val="both"/>
        <w:rPr>
          <w:kern w:val="28"/>
        </w:rPr>
      </w:pPr>
      <w:r>
        <w:rPr>
          <w:kern w:val="28"/>
        </w:rPr>
        <w:t xml:space="preserve">величина собственного капитала на последнюю отчетную дату по публикуемой отчетности больше или равна 3 </w:t>
      </w:r>
      <w:proofErr w:type="spellStart"/>
      <w:proofErr w:type="gramStart"/>
      <w:r>
        <w:rPr>
          <w:kern w:val="28"/>
        </w:rPr>
        <w:t>млрд</w:t>
      </w:r>
      <w:proofErr w:type="spellEnd"/>
      <w:proofErr w:type="gramEnd"/>
      <w:r>
        <w:rPr>
          <w:kern w:val="28"/>
        </w:rPr>
        <w:t xml:space="preserve"> рублей или их эквиваленту в иностранной валюте.</w:t>
      </w:r>
    </w:p>
    <w:p w:rsidR="007E722F" w:rsidRDefault="007E722F" w:rsidP="007E722F">
      <w:pPr>
        <w:pStyle w:val="a6"/>
        <w:ind w:firstLine="426"/>
        <w:jc w:val="both"/>
        <w:rPr>
          <w:kern w:val="28"/>
        </w:rPr>
      </w:pPr>
      <w:r>
        <w:rPr>
          <w:kern w:val="28"/>
        </w:rPr>
        <w:t>В рамках исполнения обязательств перед организациями Госкорпорации «Росатом» со стороны контрагентов, не являющихся резидентам Российской Федерации, обеспечение таких обязательств  может быть предоставлено от банков-резидентов страны местонахождения контрагента. В дополнение к требованиям, указанным в п.1.2.1 , банки-нерезиденты должны соответствовать следующим требованиям:</w:t>
      </w:r>
    </w:p>
    <w:p w:rsidR="007E722F" w:rsidRDefault="007E722F" w:rsidP="007E722F">
      <w:pPr>
        <w:pStyle w:val="a6"/>
        <w:ind w:firstLine="426"/>
        <w:jc w:val="both"/>
        <w:rPr>
          <w:kern w:val="28"/>
        </w:rPr>
      </w:pPr>
      <w:r>
        <w:rPr>
          <w:kern w:val="28"/>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Pr>
          <w:kern w:val="28"/>
        </w:rPr>
        <w:t>Standard&amp;Poor’s</w:t>
      </w:r>
      <w:proofErr w:type="spellEnd"/>
      <w:r>
        <w:rPr>
          <w:kern w:val="28"/>
        </w:rPr>
        <w:t xml:space="preserve">, </w:t>
      </w:r>
      <w:proofErr w:type="spellStart"/>
      <w:r>
        <w:rPr>
          <w:kern w:val="28"/>
        </w:rPr>
        <w:t>Moody’s</w:t>
      </w:r>
      <w:proofErr w:type="spellEnd"/>
      <w:r>
        <w:rPr>
          <w:kern w:val="28"/>
        </w:rPr>
        <w:t xml:space="preserve"> </w:t>
      </w:r>
      <w:proofErr w:type="spellStart"/>
      <w:r>
        <w:rPr>
          <w:kern w:val="28"/>
        </w:rPr>
        <w:t>Investors</w:t>
      </w:r>
      <w:proofErr w:type="spellEnd"/>
      <w:r>
        <w:rPr>
          <w:kern w:val="28"/>
        </w:rPr>
        <w:t xml:space="preserve"> </w:t>
      </w:r>
      <w:proofErr w:type="spellStart"/>
      <w:r>
        <w:rPr>
          <w:kern w:val="28"/>
        </w:rPr>
        <w:t>Service</w:t>
      </w:r>
      <w:proofErr w:type="spellEnd"/>
      <w:r>
        <w:rPr>
          <w:kern w:val="28"/>
        </w:rPr>
        <w:t xml:space="preserve">, </w:t>
      </w:r>
      <w:proofErr w:type="spellStart"/>
      <w:r>
        <w:rPr>
          <w:kern w:val="28"/>
        </w:rPr>
        <w:t>Fitch</w:t>
      </w:r>
      <w:proofErr w:type="spellEnd"/>
      <w:r>
        <w:rPr>
          <w:kern w:val="28"/>
        </w:rPr>
        <w:t xml:space="preserve"> </w:t>
      </w:r>
      <w:proofErr w:type="spellStart"/>
      <w:r>
        <w:rPr>
          <w:kern w:val="28"/>
        </w:rPr>
        <w:t>Ratings</w:t>
      </w:r>
      <w:proofErr w:type="spellEnd"/>
      <w:r>
        <w:rPr>
          <w:kern w:val="28"/>
        </w:rPr>
        <w:t xml:space="preserve">, – на уровне не ниже «B-» по шкале </w:t>
      </w:r>
      <w:proofErr w:type="spellStart"/>
      <w:r>
        <w:rPr>
          <w:kern w:val="28"/>
        </w:rPr>
        <w:t>Standard&amp;Poor’s</w:t>
      </w:r>
      <w:proofErr w:type="spellEnd"/>
      <w:r>
        <w:rPr>
          <w:kern w:val="28"/>
        </w:rPr>
        <w:t xml:space="preserve"> и </w:t>
      </w:r>
      <w:proofErr w:type="spellStart"/>
      <w:r>
        <w:rPr>
          <w:kern w:val="28"/>
        </w:rPr>
        <w:t>Fitch</w:t>
      </w:r>
      <w:proofErr w:type="spellEnd"/>
      <w:r>
        <w:rPr>
          <w:kern w:val="28"/>
        </w:rPr>
        <w:t xml:space="preserve"> </w:t>
      </w:r>
      <w:proofErr w:type="spellStart"/>
      <w:r>
        <w:rPr>
          <w:kern w:val="28"/>
        </w:rPr>
        <w:t>Ratings</w:t>
      </w:r>
      <w:proofErr w:type="spellEnd"/>
      <w:r>
        <w:rPr>
          <w:kern w:val="28"/>
        </w:rPr>
        <w:t xml:space="preserve">, не ниже «B3» по шкале </w:t>
      </w:r>
      <w:proofErr w:type="spellStart"/>
      <w:r>
        <w:rPr>
          <w:kern w:val="28"/>
        </w:rPr>
        <w:t>Moody’s</w:t>
      </w:r>
      <w:proofErr w:type="spellEnd"/>
      <w:r>
        <w:rPr>
          <w:kern w:val="28"/>
        </w:rPr>
        <w:t xml:space="preserve"> </w:t>
      </w:r>
      <w:proofErr w:type="spellStart"/>
      <w:r>
        <w:rPr>
          <w:kern w:val="28"/>
        </w:rPr>
        <w:t>Investors</w:t>
      </w:r>
      <w:proofErr w:type="spellEnd"/>
      <w:r>
        <w:rPr>
          <w:kern w:val="28"/>
        </w:rPr>
        <w:t xml:space="preserve"> </w:t>
      </w:r>
      <w:proofErr w:type="spellStart"/>
      <w:r>
        <w:rPr>
          <w:kern w:val="28"/>
        </w:rPr>
        <w:t>Service</w:t>
      </w:r>
      <w:proofErr w:type="spellEnd"/>
      <w:r>
        <w:rPr>
          <w:kern w:val="28"/>
        </w:rPr>
        <w:t>. Указанные рейтинги должны быть действительными и не могут находиться в состоянии «отозван» или «приостановлен»;</w:t>
      </w:r>
    </w:p>
    <w:p w:rsidR="007E722F" w:rsidRDefault="007E722F" w:rsidP="007E722F">
      <w:pPr>
        <w:pStyle w:val="a6"/>
        <w:ind w:firstLine="426"/>
        <w:jc w:val="both"/>
      </w:pPr>
      <w:r>
        <w:rPr>
          <w:bCs/>
        </w:rPr>
        <w:t xml:space="preserve">Возможно принятие гарантий от банка-нерезидента, у которого отсутствует рейтинг, </w:t>
      </w:r>
      <w:r>
        <w:t xml:space="preserve">присвоенный одним из трех международных рейтинговых агентств </w:t>
      </w:r>
      <w:proofErr w:type="spellStart"/>
      <w:r>
        <w:t>Standard&amp;Poor’s</w:t>
      </w:r>
      <w:proofErr w:type="spellEnd"/>
      <w:r>
        <w:t xml:space="preserve">, </w:t>
      </w:r>
      <w:proofErr w:type="spellStart"/>
      <w:r>
        <w:t>Moody’s</w:t>
      </w:r>
      <w:proofErr w:type="spellEnd"/>
      <w:r>
        <w:t xml:space="preserve"> </w:t>
      </w:r>
      <w:proofErr w:type="spellStart"/>
      <w:r>
        <w:t>Investors</w:t>
      </w:r>
      <w:proofErr w:type="spellEnd"/>
      <w:r>
        <w:t xml:space="preserve"> </w:t>
      </w:r>
      <w:proofErr w:type="spellStart"/>
      <w:r>
        <w:t>Service</w:t>
      </w:r>
      <w:proofErr w:type="spellEnd"/>
      <w:r>
        <w:t xml:space="preserve">, </w:t>
      </w:r>
      <w:proofErr w:type="spellStart"/>
      <w:r>
        <w:t>Fitch</w:t>
      </w:r>
      <w:proofErr w:type="spellEnd"/>
      <w:r>
        <w:t xml:space="preserve"> </w:t>
      </w:r>
      <w:proofErr w:type="spellStart"/>
      <w:r>
        <w:t>Ratings</w:t>
      </w:r>
      <w:proofErr w:type="spellEnd"/>
      <w:r>
        <w:t>.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7E722F" w:rsidRDefault="007E722F" w:rsidP="007E722F">
      <w:pPr>
        <w:pStyle w:val="a6"/>
        <w:ind w:firstLine="426"/>
        <w:jc w:val="both"/>
        <w:rPr>
          <w:kern w:val="28"/>
        </w:rPr>
      </w:pPr>
      <w:proofErr w:type="gramStart"/>
      <w:r>
        <w:rPr>
          <w:kern w:val="28"/>
        </w:rPr>
        <w:t>Основанием для отказа в приеме гарантии банка, соответствующего критериям, указанным в п.1, является  резкое  ухудшение численных параметров деятельности банка, убытки, информация о нарушениях банком обязательных нормативов Банка России (в случае если банковскую гарантию предоставляет банк-резидент Российской Федерации) или иного уполномоченного органа (в случае если банковскую гарантию предоставляет банк, не являющийся резидентом Российской Федерации), а также отсутствие в открытом доступе</w:t>
      </w:r>
      <w:proofErr w:type="gramEnd"/>
      <w:r>
        <w:rPr>
          <w:kern w:val="28"/>
        </w:rPr>
        <w:t xml:space="preserve"> отчетности банка (на сайте </w:t>
      </w:r>
      <w:hyperlink r:id="rId15" w:history="1">
        <w:r>
          <w:rPr>
            <w:rStyle w:val="a3"/>
            <w:kern w:val="28"/>
          </w:rPr>
          <w:t>www.cbr.ru</w:t>
        </w:r>
      </w:hyperlink>
      <w:r>
        <w:rPr>
          <w:kern w:val="28"/>
        </w:rPr>
        <w:t xml:space="preserve"> – для банков-резидентов Российской Федерации). </w:t>
      </w:r>
    </w:p>
    <w:p w:rsidR="007E722F" w:rsidRDefault="007E722F" w:rsidP="007E722F">
      <w:pPr>
        <w:pStyle w:val="a6"/>
        <w:ind w:firstLine="426"/>
        <w:jc w:val="both"/>
        <w:rPr>
          <w:kern w:val="28"/>
        </w:rPr>
      </w:pPr>
      <w:r>
        <w:rPr>
          <w:kern w:val="28"/>
        </w:rPr>
        <w:lastRenderedPageBreak/>
        <w:t>Не принимаются банковские гарантии, выдаваемые некоммерческими кредитными организациями и страховыми организациями.</w:t>
      </w:r>
    </w:p>
    <w:p w:rsidR="007E722F" w:rsidRDefault="007E722F" w:rsidP="007E722F">
      <w:pPr>
        <w:pStyle w:val="a6"/>
        <w:ind w:firstLine="426"/>
        <w:jc w:val="both"/>
        <w:rPr>
          <w:kern w:val="28"/>
        </w:rPr>
      </w:pPr>
      <w:r>
        <w:t>2. Требования к Банкам-партнерам Госкорпорации «Росатом»</w:t>
      </w:r>
    </w:p>
    <w:p w:rsidR="007E722F" w:rsidRDefault="007E722F" w:rsidP="007E722F">
      <w:pPr>
        <w:pStyle w:val="a6"/>
        <w:ind w:firstLine="426"/>
        <w:jc w:val="both"/>
      </w:pPr>
      <w:r>
        <w:t>2.1. Банки-партнеры должны соответствовать следующим критериям:</w:t>
      </w:r>
    </w:p>
    <w:p w:rsidR="007E722F" w:rsidRDefault="007E722F" w:rsidP="007E722F">
      <w:pPr>
        <w:pStyle w:val="a6"/>
        <w:ind w:firstLine="426"/>
        <w:jc w:val="both"/>
      </w:pPr>
      <w:r>
        <w:t xml:space="preserve">2.1.1. Объем активов по публикуемой финансовой отчетности на последнюю отчетную дату: не менее 100 </w:t>
      </w:r>
      <w:proofErr w:type="spellStart"/>
      <w:proofErr w:type="gramStart"/>
      <w:r>
        <w:t>млрд</w:t>
      </w:r>
      <w:proofErr w:type="spellEnd"/>
      <w:proofErr w:type="gramEnd"/>
      <w:r>
        <w:t xml:space="preserve"> рублей.</w:t>
      </w:r>
    </w:p>
    <w:p w:rsidR="007E722F" w:rsidRDefault="007E722F" w:rsidP="007E722F">
      <w:pPr>
        <w:pStyle w:val="a6"/>
        <w:ind w:firstLine="426"/>
        <w:jc w:val="both"/>
      </w:pPr>
      <w:r>
        <w:t>2.1.2. Объем собственных средств (собственного капитала) по публикуемой финансовой отчетности на последнюю отчетную дату: не менее 10 млрд. рублей.</w:t>
      </w:r>
    </w:p>
    <w:p w:rsidR="007E722F" w:rsidRDefault="007E722F" w:rsidP="007E722F">
      <w:pPr>
        <w:pStyle w:val="a6"/>
        <w:ind w:firstLine="426"/>
        <w:jc w:val="both"/>
      </w:pPr>
      <w:r>
        <w:t>2.1.3. Коэффициент достаточности собственного капитала на последнюю отчетную дату: не менее 11%.</w:t>
      </w:r>
    </w:p>
    <w:p w:rsidR="007E722F" w:rsidRDefault="007E722F" w:rsidP="007E722F">
      <w:pPr>
        <w:pStyle w:val="a6"/>
        <w:ind w:firstLine="426"/>
        <w:jc w:val="both"/>
      </w:pPr>
      <w:r>
        <w:t xml:space="preserve">2.1.4. Чистая ссудная задолженность по публикуемой отчетности на последнюю отчетную дату: не менее 50 </w:t>
      </w:r>
      <w:proofErr w:type="spellStart"/>
      <w:proofErr w:type="gramStart"/>
      <w:r>
        <w:t>млрд</w:t>
      </w:r>
      <w:proofErr w:type="spellEnd"/>
      <w:proofErr w:type="gramEnd"/>
      <w:r>
        <w:t xml:space="preserve"> рублей.</w:t>
      </w:r>
    </w:p>
    <w:p w:rsidR="007E722F" w:rsidRDefault="007E722F" w:rsidP="007E722F">
      <w:pPr>
        <w:pStyle w:val="a6"/>
        <w:ind w:firstLine="426"/>
        <w:jc w:val="both"/>
      </w:pPr>
      <w:r>
        <w:t>2.1.5. Положительные финансовые результаты деятельности (прибыль после налогообложения) за предыдущий год и за прошедший период текущего года по публикуемой на ежеквартальной основе отчетности.</w:t>
      </w:r>
    </w:p>
    <w:p w:rsidR="007E722F" w:rsidRDefault="007E722F" w:rsidP="007E722F">
      <w:pPr>
        <w:pStyle w:val="a6"/>
        <w:ind w:firstLine="426"/>
        <w:jc w:val="both"/>
      </w:pPr>
      <w:r>
        <w:t>2.1.6. Наличие банка в системе страхования вкладов (только для банков-резидентов Российской Федерации).</w:t>
      </w:r>
    </w:p>
    <w:p w:rsidR="007E722F" w:rsidRDefault="007E722F" w:rsidP="007E722F">
      <w:pPr>
        <w:pStyle w:val="a6"/>
        <w:ind w:firstLine="426"/>
        <w:jc w:val="both"/>
      </w:pPr>
      <w:r>
        <w:t xml:space="preserve">2.1.7. 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t>Standard&amp;Poor’s</w:t>
      </w:r>
      <w:proofErr w:type="spellEnd"/>
      <w:r>
        <w:t xml:space="preserve">, </w:t>
      </w:r>
      <w:proofErr w:type="spellStart"/>
      <w:r>
        <w:t>Moody’s</w:t>
      </w:r>
      <w:proofErr w:type="spellEnd"/>
      <w:r>
        <w:t xml:space="preserve"> </w:t>
      </w:r>
      <w:r>
        <w:rPr>
          <w:lang w:val="en-US"/>
        </w:rPr>
        <w:t>Investors</w:t>
      </w:r>
      <w:r w:rsidRPr="007E722F">
        <w:t xml:space="preserve"> </w:t>
      </w:r>
      <w:r>
        <w:rPr>
          <w:lang w:val="en-US"/>
        </w:rPr>
        <w:t>Service</w:t>
      </w:r>
      <w:r>
        <w:t xml:space="preserve">, </w:t>
      </w:r>
      <w:proofErr w:type="spellStart"/>
      <w:r>
        <w:t>Fitch</w:t>
      </w:r>
      <w:proofErr w:type="spellEnd"/>
      <w:r>
        <w:t xml:space="preserve"> </w:t>
      </w:r>
      <w:proofErr w:type="spellStart"/>
      <w:r>
        <w:t>Ratings</w:t>
      </w:r>
      <w:proofErr w:type="spellEnd"/>
      <w:r>
        <w:t xml:space="preserve">, – на уровне не ниже «B-» по шкале </w:t>
      </w:r>
      <w:proofErr w:type="spellStart"/>
      <w:r>
        <w:t>Standard&amp;Poor’s</w:t>
      </w:r>
      <w:proofErr w:type="spellEnd"/>
      <w:r>
        <w:t xml:space="preserve"> и </w:t>
      </w:r>
      <w:proofErr w:type="spellStart"/>
      <w:r>
        <w:t>Fitch</w:t>
      </w:r>
      <w:proofErr w:type="spellEnd"/>
      <w:r>
        <w:t xml:space="preserve"> </w:t>
      </w:r>
      <w:proofErr w:type="spellStart"/>
      <w:r>
        <w:t>Ratings</w:t>
      </w:r>
      <w:proofErr w:type="spellEnd"/>
      <w:r>
        <w:t xml:space="preserve">, не ниже «B3» по шкале </w:t>
      </w:r>
      <w:proofErr w:type="spellStart"/>
      <w:r>
        <w:t>Moody’s</w:t>
      </w:r>
      <w:proofErr w:type="spellEnd"/>
      <w:r>
        <w:t xml:space="preserve"> </w:t>
      </w:r>
      <w:r>
        <w:rPr>
          <w:lang w:val="en-US"/>
        </w:rPr>
        <w:t>Investors</w:t>
      </w:r>
      <w:r w:rsidRPr="007E722F">
        <w:t xml:space="preserve"> </w:t>
      </w:r>
      <w:r>
        <w:rPr>
          <w:lang w:val="en-US"/>
        </w:rPr>
        <w:t>Service</w:t>
      </w:r>
      <w:r>
        <w:t>. Указанные рейтинги должны быть действительными и не могут находиться в состоянии «отозван» или «приостановлен»,</w:t>
      </w:r>
    </w:p>
    <w:p w:rsidR="007E722F" w:rsidRDefault="007E722F" w:rsidP="007E722F">
      <w:pPr>
        <w:pStyle w:val="a6"/>
        <w:ind w:firstLine="426"/>
        <w:jc w:val="both"/>
      </w:pPr>
      <w:r>
        <w:t>2.1.8. Отсутствие по публичной информации неурегулированных претензий  международных и российских кредиторов Центрального банка страны, резидентом которой является банк (Банка России для банков-резидентов Российской Федерации), налоговых органов на сумму больше 10% от собственного капитала банка по публикуемой финансовой отчетности на последнюю отчетную дату.</w:t>
      </w:r>
    </w:p>
    <w:p w:rsidR="007E722F" w:rsidRDefault="007E722F" w:rsidP="007E722F">
      <w:pPr>
        <w:pStyle w:val="a6"/>
        <w:ind w:firstLine="426"/>
        <w:jc w:val="both"/>
      </w:pPr>
      <w:r>
        <w:t>2.1.9. Членство банка в международной платежной системе (VISA и/или MASTERCARD).</w:t>
      </w:r>
    </w:p>
    <w:p w:rsidR="007E722F" w:rsidRDefault="007E722F" w:rsidP="007E722F">
      <w:pPr>
        <w:pStyle w:val="a6"/>
        <w:ind w:firstLine="426"/>
        <w:jc w:val="both"/>
      </w:pPr>
      <w:r>
        <w:t>2.1.10. Наличие системы дистанционного банковского обслуживания («банк-клиент»), отвечающей следующим требованиям:</w:t>
      </w:r>
    </w:p>
    <w:p w:rsidR="007E722F" w:rsidRDefault="007E722F" w:rsidP="007E722F">
      <w:pPr>
        <w:pStyle w:val="a6"/>
        <w:ind w:firstLine="426"/>
        <w:jc w:val="both"/>
      </w:pPr>
      <w:r>
        <w:t>1) наличие сертификата, выданного уполномоченными государственными органами, на соответствие требованиям безопасности при передаче информации,</w:t>
      </w:r>
    </w:p>
    <w:p w:rsidR="007E722F" w:rsidRDefault="007E722F" w:rsidP="007E722F">
      <w:pPr>
        <w:pStyle w:val="a6"/>
        <w:ind w:firstLine="426"/>
        <w:jc w:val="both"/>
      </w:pPr>
      <w:r>
        <w:t>2) наличие системы предварительного контроля расходных операций, позволяющих управляющему обществу группы юридических лиц принять в режиме реального времени решение об исполнении/отклонении текущего платежа других юридических лиц,</w:t>
      </w:r>
    </w:p>
    <w:p w:rsidR="007E722F" w:rsidRDefault="007E722F" w:rsidP="007E722F">
      <w:pPr>
        <w:pStyle w:val="a6"/>
        <w:ind w:firstLine="426"/>
        <w:jc w:val="both"/>
      </w:pPr>
      <w:r>
        <w:t>3) наличие системы, предоставляющей управляющему обществу автоматизированные отчеты об остатках денежных средств на счетах дочерних и зависимых обществ и заключенных сделках.</w:t>
      </w:r>
    </w:p>
    <w:p w:rsidR="007E722F" w:rsidRDefault="007E722F" w:rsidP="007E722F">
      <w:pPr>
        <w:pStyle w:val="a6"/>
        <w:ind w:firstLine="426"/>
        <w:jc w:val="both"/>
      </w:pPr>
      <w:r>
        <w:t>2.2. Основанием для исключения банка из перечня банков-партнеров служит:</w:t>
      </w:r>
    </w:p>
    <w:p w:rsidR="007E722F" w:rsidRDefault="007E722F" w:rsidP="007E722F">
      <w:pPr>
        <w:pStyle w:val="a6"/>
        <w:ind w:firstLine="426"/>
        <w:jc w:val="both"/>
      </w:pPr>
      <w:r>
        <w:t>резкое ухудшение любого из вышеуказанных численных параметров деятельности банков по сравнению с величиной, достигнутой на предыдущую отчетную дату;</w:t>
      </w:r>
    </w:p>
    <w:p w:rsidR="007E722F" w:rsidRDefault="007E722F" w:rsidP="007E722F">
      <w:pPr>
        <w:pStyle w:val="a6"/>
        <w:ind w:firstLine="426"/>
        <w:jc w:val="both"/>
      </w:pPr>
      <w:r>
        <w:t xml:space="preserve">нарушение банком обязательных нормативов Банка России в течение 6 (шести) последовательных месяцев, а также отсутствие в открытом доступе на сайте </w:t>
      </w:r>
      <w:hyperlink r:id="rId16" w:history="1">
        <w:r>
          <w:rPr>
            <w:rStyle w:val="a3"/>
            <w:lang w:val="en-US"/>
          </w:rPr>
          <w:t>www</w:t>
        </w:r>
        <w:r>
          <w:rPr>
            <w:rStyle w:val="a3"/>
          </w:rPr>
          <w:t>.</w:t>
        </w:r>
        <w:proofErr w:type="spellStart"/>
        <w:r>
          <w:rPr>
            <w:rStyle w:val="a3"/>
            <w:lang w:val="en-US"/>
          </w:rPr>
          <w:t>cbr</w:t>
        </w:r>
        <w:proofErr w:type="spellEnd"/>
        <w:r>
          <w:rPr>
            <w:rStyle w:val="a3"/>
          </w:rPr>
          <w:t>.</w:t>
        </w:r>
        <w:r>
          <w:rPr>
            <w:rStyle w:val="a3"/>
            <w:lang w:val="en-US"/>
          </w:rPr>
          <w:t>ru</w:t>
        </w:r>
      </w:hyperlink>
      <w:r>
        <w:t xml:space="preserve"> отчетности банка (ф.101, 102, 134, 135) (только для банков-резидентов Российской Федерации).</w:t>
      </w:r>
    </w:p>
    <w:p w:rsidR="007E722F" w:rsidRDefault="007E722F" w:rsidP="007E722F">
      <w:pPr>
        <w:pStyle w:val="a6"/>
        <w:ind w:firstLine="426"/>
        <w:jc w:val="both"/>
      </w:pPr>
      <w:r>
        <w:t>2.3. К банкам-партнерам также относятся банки, не полностью соответствующие вышеуказанным критериям, если они являются:</w:t>
      </w:r>
    </w:p>
    <w:p w:rsidR="007E722F" w:rsidRDefault="007E722F" w:rsidP="007E722F">
      <w:pPr>
        <w:pStyle w:val="a6"/>
        <w:ind w:firstLine="426"/>
        <w:jc w:val="both"/>
      </w:pPr>
      <w:r>
        <w:t>банками (институтами) развития, в том числе международными;</w:t>
      </w:r>
    </w:p>
    <w:p w:rsidR="007E722F" w:rsidRDefault="007E722F" w:rsidP="007E722F">
      <w:pPr>
        <w:pStyle w:val="a6"/>
        <w:ind w:firstLine="426"/>
        <w:jc w:val="both"/>
      </w:pPr>
      <w:r>
        <w:lastRenderedPageBreak/>
        <w:t>зарегистрированными на территории Российской Федерации дочерними банками банков-нерезидентов, соответствующих критериям пунктов 2.1-2.5 и 2.7-2.9 (в таких дочерних банках разрешается только привлечение заемных средств и их конвертация);</w:t>
      </w:r>
    </w:p>
    <w:p w:rsidR="007E722F" w:rsidRDefault="007E722F" w:rsidP="007E722F">
      <w:pPr>
        <w:pStyle w:val="a6"/>
        <w:ind w:firstLine="426"/>
        <w:jc w:val="both"/>
      </w:pPr>
      <w:r>
        <w:t>банками (филиалами банков), зарегистрированными в закрытых административных территориальных образованиях по месту основной деятельности организаций Госкорпорации «Росатом», имеющими более чем 3</w:t>
      </w:r>
      <w:r>
        <w:noBreakHyphen/>
        <w:t>летний опыт работы с организациями Госкорпорации «Росатом».</w:t>
      </w:r>
    </w:p>
    <w:p w:rsidR="007E722F" w:rsidRDefault="007E722F" w:rsidP="007E722F">
      <w:pPr>
        <w:pStyle w:val="a6"/>
        <w:ind w:firstLine="426"/>
        <w:jc w:val="both"/>
      </w:pPr>
      <w:r>
        <w:t>3.</w:t>
      </w:r>
      <w:r>
        <w:tab/>
        <w:t>Требования к Опорным банкам</w:t>
      </w:r>
    </w:p>
    <w:p w:rsidR="007E722F" w:rsidRDefault="007E722F" w:rsidP="007E722F">
      <w:pPr>
        <w:pStyle w:val="a6"/>
        <w:ind w:firstLine="426"/>
        <w:jc w:val="both"/>
      </w:pPr>
      <w:r>
        <w:t>Опорные банки должны соответствовать требованиям, предъявляемым к банкам-партнерам, указанным в разделе 2. Кроме того, опорные банки должны  соответствовать следующим требованиям:</w:t>
      </w:r>
    </w:p>
    <w:p w:rsidR="007E722F" w:rsidRDefault="007E722F" w:rsidP="007E722F">
      <w:pPr>
        <w:pStyle w:val="a6"/>
        <w:ind w:firstLine="426"/>
        <w:jc w:val="both"/>
      </w:pPr>
      <w:r>
        <w:t xml:space="preserve">3.1. Наличие разветвленной региональной сети на территории Российской Федерации: не менее чем 30 филиалов, отделений и операционных офисов (без учета дочерних и зависимых банков) (для банков-резидентов Российской Федерации). </w:t>
      </w:r>
    </w:p>
    <w:p w:rsidR="007E722F" w:rsidRDefault="007E722F" w:rsidP="007E722F">
      <w:pPr>
        <w:pStyle w:val="a6"/>
        <w:ind w:firstLine="426"/>
        <w:jc w:val="both"/>
      </w:pPr>
      <w:r>
        <w:t xml:space="preserve">3.2. Объем активов по публикуемой отчетности по РСБУ на последнюю отчетную дату: не менее 1 </w:t>
      </w:r>
      <w:proofErr w:type="spellStart"/>
      <w:proofErr w:type="gramStart"/>
      <w:r>
        <w:t>трлн</w:t>
      </w:r>
      <w:proofErr w:type="spellEnd"/>
      <w:proofErr w:type="gramEnd"/>
      <w:r>
        <w:t xml:space="preserve"> рублей.</w:t>
      </w:r>
    </w:p>
    <w:p w:rsidR="007E722F" w:rsidRDefault="007E722F" w:rsidP="007E722F">
      <w:pPr>
        <w:pStyle w:val="a6"/>
        <w:ind w:firstLine="426"/>
        <w:jc w:val="both"/>
      </w:pPr>
      <w:r>
        <w:t xml:space="preserve">3.3. 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t>Standard&amp;Poor’s</w:t>
      </w:r>
      <w:proofErr w:type="spellEnd"/>
      <w:r>
        <w:t xml:space="preserve"> (www.standardandpoors.com), </w:t>
      </w:r>
      <w:proofErr w:type="spellStart"/>
      <w:r>
        <w:t>Moody’s</w:t>
      </w:r>
      <w:proofErr w:type="spellEnd"/>
      <w:r>
        <w:t xml:space="preserve"> </w:t>
      </w:r>
      <w:proofErr w:type="spellStart"/>
      <w:r>
        <w:t>Investors</w:t>
      </w:r>
      <w:proofErr w:type="spellEnd"/>
      <w:r>
        <w:t xml:space="preserve"> </w:t>
      </w:r>
      <w:proofErr w:type="spellStart"/>
      <w:r>
        <w:t>Service</w:t>
      </w:r>
      <w:proofErr w:type="spellEnd"/>
      <w:r>
        <w:t xml:space="preserve"> (www.moodys.com), </w:t>
      </w:r>
      <w:proofErr w:type="spellStart"/>
      <w:r>
        <w:t>Fitch</w:t>
      </w:r>
      <w:proofErr w:type="spellEnd"/>
      <w:r>
        <w:t xml:space="preserve"> </w:t>
      </w:r>
      <w:proofErr w:type="spellStart"/>
      <w:r>
        <w:t>Ratings</w:t>
      </w:r>
      <w:proofErr w:type="spellEnd"/>
      <w:r>
        <w:t xml:space="preserve"> (www.fitchratings.com). При этом рейтинг по классификации как минимум одного из рейтинговых агентств должен быть не более чем на одну ступень ниже суверенного кредитного рейтинга Российской Федерации, присвоенного по международной шкале соответствующего агентства (</w:t>
      </w:r>
      <w:proofErr w:type="spellStart"/>
      <w:r>
        <w:t>Standard</w:t>
      </w:r>
      <w:proofErr w:type="spellEnd"/>
      <w:r>
        <w:t xml:space="preserve"> &amp; </w:t>
      </w:r>
      <w:proofErr w:type="spellStart"/>
      <w:r>
        <w:t>Poor’s</w:t>
      </w:r>
      <w:proofErr w:type="spellEnd"/>
      <w:r>
        <w:t xml:space="preserve">,  </w:t>
      </w:r>
      <w:proofErr w:type="spellStart"/>
      <w:r>
        <w:t>Fitch</w:t>
      </w:r>
      <w:proofErr w:type="spellEnd"/>
      <w:r>
        <w:t xml:space="preserve"> </w:t>
      </w:r>
      <w:proofErr w:type="spellStart"/>
      <w:r>
        <w:t>Ratings</w:t>
      </w:r>
      <w:proofErr w:type="spellEnd"/>
      <w:r>
        <w:t xml:space="preserve">, и по шкале </w:t>
      </w:r>
      <w:proofErr w:type="spellStart"/>
      <w:r>
        <w:t>Moody’s</w:t>
      </w:r>
      <w:proofErr w:type="spellEnd"/>
      <w:r>
        <w:t xml:space="preserve"> </w:t>
      </w:r>
      <w:proofErr w:type="spellStart"/>
      <w:r>
        <w:t>Investors</w:t>
      </w:r>
      <w:proofErr w:type="spellEnd"/>
      <w:r>
        <w:t xml:space="preserve"> </w:t>
      </w:r>
      <w:proofErr w:type="spellStart"/>
      <w:r>
        <w:t>Service</w:t>
      </w:r>
      <w:proofErr w:type="spellEnd"/>
      <w:r>
        <w:t>). Указанные рейтинги должны быть действительными и не могут находиться в состоянии «отозван» или «приостановлен».</w:t>
      </w:r>
    </w:p>
    <w:p w:rsidR="007E722F" w:rsidRDefault="007E722F" w:rsidP="007E722F">
      <w:pPr>
        <w:pStyle w:val="a6"/>
        <w:ind w:firstLine="426"/>
        <w:jc w:val="both"/>
      </w:pPr>
      <w:r>
        <w:t xml:space="preserve">В случае отсутствия у банка-нерезидента вышеуказанного кредитного рейтинга банк должен входить в первую тройку банков страны (по критерию величины активов), резидентом которой он является. Либо не менее 50% уставного капитала банка должно принадлежать Российской Федерации или банкам-резидентам Российской Федерации, являющимся опорными, т.е. полностью соответствующим критериям, указанным в п. 2.1-2.2 и п. 3.1-3.3. </w:t>
      </w:r>
    </w:p>
    <w:p w:rsidR="007E722F" w:rsidRDefault="007E722F" w:rsidP="007E722F">
      <w:pPr>
        <w:pStyle w:val="a6"/>
        <w:ind w:firstLine="426"/>
        <w:jc w:val="both"/>
      </w:pPr>
      <w:r>
        <w:t>Работа с банками-нерезидентами допускается только для организаций отрасли, имеющих согласование Казначейства Госкорпорации «Росатом».</w:t>
      </w:r>
    </w:p>
    <w:p w:rsidR="007E722F" w:rsidRDefault="007E722F" w:rsidP="007E722F">
      <w:pPr>
        <w:pStyle w:val="a6"/>
        <w:ind w:firstLine="426"/>
        <w:jc w:val="both"/>
        <w:rPr>
          <w:bCs/>
        </w:rPr>
      </w:pPr>
      <w:r>
        <w:rPr>
          <w:bCs/>
        </w:rPr>
        <w:t>Победителем или участником, с которым принято решение о заключении договора, к обеспечению исполнения договора (возврат аванса и/или обеспечение исполнения обязательств по договору и/или исполнения гарантийных обязательств) в форме банковской гарантии или поручительства в обязательном порядке должны быть приложены документы согласно пункту 4.16.5 настоящей документации.</w:t>
      </w:r>
    </w:p>
    <w:p w:rsidR="007E722F" w:rsidRDefault="007E722F" w:rsidP="007E722F">
      <w:pPr>
        <w:numPr>
          <w:ilvl w:val="0"/>
          <w:numId w:val="2"/>
        </w:numPr>
        <w:tabs>
          <w:tab w:val="clear" w:pos="720"/>
          <w:tab w:val="num" w:pos="480"/>
          <w:tab w:val="left" w:pos="851"/>
        </w:tabs>
        <w:ind w:left="0" w:firstLine="426"/>
        <w:contextualSpacing/>
        <w:jc w:val="both"/>
        <w:rPr>
          <w:spacing w:val="-6"/>
        </w:rPr>
      </w:pPr>
      <w:r>
        <w:t>Организатор конкурса вправе отказаться от проведения конкурса  не </w:t>
      </w:r>
      <w:proofErr w:type="gramStart"/>
      <w:r>
        <w:t>позднее</w:t>
      </w:r>
      <w:proofErr w:type="gramEnd"/>
      <w:r>
        <w:t xml:space="preserve"> чем за пять дней до даты окончания срока подачи заявок на участие в конкурсе</w:t>
      </w:r>
      <w:r>
        <w:rPr>
          <w:b/>
          <w:i/>
        </w:rPr>
        <w:t>,</w:t>
      </w:r>
      <w:r>
        <w:t xml:space="preserve"> не неся никакой ответственности перед участниками конкурса или третьими лицами, которым такое действие может принести убытки.</w:t>
      </w:r>
    </w:p>
    <w:p w:rsidR="007E722F" w:rsidRDefault="007E722F" w:rsidP="007E722F">
      <w:pPr>
        <w:numPr>
          <w:ilvl w:val="0"/>
          <w:numId w:val="2"/>
        </w:numPr>
        <w:tabs>
          <w:tab w:val="clear" w:pos="720"/>
          <w:tab w:val="num" w:pos="480"/>
          <w:tab w:val="left" w:pos="851"/>
        </w:tabs>
        <w:ind w:left="0" w:firstLine="426"/>
        <w:contextualSpacing/>
        <w:jc w:val="both"/>
        <w:rPr>
          <w:spacing w:val="-6"/>
        </w:rPr>
      </w:pPr>
      <w:r>
        <w:t>Остальные и более подробные условия конкурса содержатся в конкурсной документации, являющейся неотъемлемым приложением к данному извещению.</w:t>
      </w:r>
    </w:p>
    <w:sectPr w:rsidR="007E722F" w:rsidSect="00C15B51">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CC"/>
    <w:family w:val="swiss"/>
    <w:pitch w:val="variable"/>
    <w:sig w:usb0="20002A87" w:usb1="80000000" w:usb2="00000008"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8A3B57"/>
    <w:multiLevelType w:val="hybridMultilevel"/>
    <w:tmpl w:val="5F7A3AAE"/>
    <w:lvl w:ilvl="0" w:tplc="04190001">
      <w:start w:val="1"/>
      <w:numFmt w:val="bullet"/>
      <w:lvlText w:val=""/>
      <w:lvlJc w:val="left"/>
      <w:pPr>
        <w:ind w:left="1146" w:hanging="360"/>
      </w:pPr>
      <w:rPr>
        <w:rFonts w:ascii="Symbol" w:hAnsi="Symbol" w:hint="default"/>
      </w:rPr>
    </w:lvl>
    <w:lvl w:ilvl="1" w:tplc="04190003">
      <w:start w:val="1"/>
      <w:numFmt w:val="bullet"/>
      <w:lvlText w:val="o"/>
      <w:lvlJc w:val="left"/>
      <w:pPr>
        <w:ind w:left="1866" w:hanging="360"/>
      </w:pPr>
      <w:rPr>
        <w:rFonts w:ascii="Courier New" w:hAnsi="Courier New" w:cs="Courier New" w:hint="default"/>
      </w:rPr>
    </w:lvl>
    <w:lvl w:ilvl="2" w:tplc="04190005">
      <w:start w:val="1"/>
      <w:numFmt w:val="bullet"/>
      <w:lvlText w:val=""/>
      <w:lvlJc w:val="left"/>
      <w:pPr>
        <w:ind w:left="2586" w:hanging="360"/>
      </w:pPr>
      <w:rPr>
        <w:rFonts w:ascii="Wingdings" w:hAnsi="Wingdings" w:hint="default"/>
      </w:rPr>
    </w:lvl>
    <w:lvl w:ilvl="3" w:tplc="04190001">
      <w:start w:val="1"/>
      <w:numFmt w:val="bullet"/>
      <w:lvlText w:val=""/>
      <w:lvlJc w:val="left"/>
      <w:pPr>
        <w:ind w:left="3306" w:hanging="360"/>
      </w:pPr>
      <w:rPr>
        <w:rFonts w:ascii="Symbol" w:hAnsi="Symbol" w:hint="default"/>
      </w:rPr>
    </w:lvl>
    <w:lvl w:ilvl="4" w:tplc="04190003">
      <w:start w:val="1"/>
      <w:numFmt w:val="bullet"/>
      <w:lvlText w:val="o"/>
      <w:lvlJc w:val="left"/>
      <w:pPr>
        <w:ind w:left="4026" w:hanging="360"/>
      </w:pPr>
      <w:rPr>
        <w:rFonts w:ascii="Courier New" w:hAnsi="Courier New" w:cs="Courier New" w:hint="default"/>
      </w:rPr>
    </w:lvl>
    <w:lvl w:ilvl="5" w:tplc="04190005">
      <w:start w:val="1"/>
      <w:numFmt w:val="bullet"/>
      <w:lvlText w:val=""/>
      <w:lvlJc w:val="left"/>
      <w:pPr>
        <w:ind w:left="4746" w:hanging="360"/>
      </w:pPr>
      <w:rPr>
        <w:rFonts w:ascii="Wingdings" w:hAnsi="Wingdings" w:hint="default"/>
      </w:rPr>
    </w:lvl>
    <w:lvl w:ilvl="6" w:tplc="04190001">
      <w:start w:val="1"/>
      <w:numFmt w:val="bullet"/>
      <w:lvlText w:val=""/>
      <w:lvlJc w:val="left"/>
      <w:pPr>
        <w:ind w:left="5466" w:hanging="360"/>
      </w:pPr>
      <w:rPr>
        <w:rFonts w:ascii="Symbol" w:hAnsi="Symbol" w:hint="default"/>
      </w:rPr>
    </w:lvl>
    <w:lvl w:ilvl="7" w:tplc="04190003">
      <w:start w:val="1"/>
      <w:numFmt w:val="bullet"/>
      <w:lvlText w:val="o"/>
      <w:lvlJc w:val="left"/>
      <w:pPr>
        <w:ind w:left="6186" w:hanging="360"/>
      </w:pPr>
      <w:rPr>
        <w:rFonts w:ascii="Courier New" w:hAnsi="Courier New" w:cs="Courier New" w:hint="default"/>
      </w:rPr>
    </w:lvl>
    <w:lvl w:ilvl="8" w:tplc="04190005">
      <w:start w:val="1"/>
      <w:numFmt w:val="bullet"/>
      <w:lvlText w:val=""/>
      <w:lvlJc w:val="left"/>
      <w:pPr>
        <w:ind w:left="6906" w:hanging="360"/>
      </w:pPr>
      <w:rPr>
        <w:rFonts w:ascii="Wingdings" w:hAnsi="Wingdings" w:hint="default"/>
      </w:rPr>
    </w:lvl>
  </w:abstractNum>
  <w:abstractNum w:abstractNumId="1">
    <w:nsid w:val="27CD2EAB"/>
    <w:multiLevelType w:val="hybridMultilevel"/>
    <w:tmpl w:val="10224978"/>
    <w:lvl w:ilvl="0" w:tplc="FFFFFFFF">
      <w:start w:val="1"/>
      <w:numFmt w:val="decimal"/>
      <w:lvlText w:val="%1."/>
      <w:lvlJc w:val="left"/>
      <w:pPr>
        <w:tabs>
          <w:tab w:val="num" w:pos="720"/>
        </w:tabs>
        <w:ind w:left="720" w:hanging="360"/>
      </w:pPr>
      <w:rPr>
        <w:b/>
        <w:i w:val="0"/>
        <w:color w:val="auto"/>
        <w:sz w:val="24"/>
        <w:szCs w:val="28"/>
      </w:rPr>
    </w:lvl>
    <w:lvl w:ilvl="1" w:tplc="FFFFFFFF">
      <w:start w:val="1"/>
      <w:numFmt w:val="decimal"/>
      <w:lvlText w:val="%2."/>
      <w:lvlJc w:val="left"/>
      <w:pPr>
        <w:tabs>
          <w:tab w:val="num" w:pos="1440"/>
        </w:tabs>
        <w:ind w:left="1440" w:hanging="360"/>
      </w:pPr>
      <w:rPr>
        <w:b/>
        <w:i w:val="0"/>
        <w:sz w:val="24"/>
        <w:szCs w:val="22"/>
      </w:r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characterSpacingControl w:val="doNotCompress"/>
  <w:compat/>
  <w:rsids>
    <w:rsidRoot w:val="007E722F"/>
    <w:rsid w:val="00324707"/>
    <w:rsid w:val="007B1AFA"/>
    <w:rsid w:val="007E0D68"/>
    <w:rsid w:val="007E722F"/>
    <w:rsid w:val="00BE72F3"/>
    <w:rsid w:val="00C15B51"/>
    <w:rsid w:val="00D4621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0" w:unhideWhenUsed="0" w:qFormat="1"/>
    <w:lsdException w:name="Hyperlink" w:uiPriority="0"/>
    <w:lsdException w:name="Strong" w:semiHidden="0" w:uiPriority="0"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E722F"/>
    <w:pPr>
      <w:spacing w:after="0" w:line="240" w:lineRule="auto"/>
    </w:pPr>
    <w:rPr>
      <w:rFonts w:eastAsia="Times New Roman" w:cs="Times New Roman"/>
      <w:sz w:val="24"/>
      <w:szCs w:val="24"/>
      <w:lang w:eastAsia="ru-RU"/>
    </w:rPr>
  </w:style>
  <w:style w:type="paragraph" w:styleId="3">
    <w:name w:val="heading 3"/>
    <w:aliases w:val="H3"/>
    <w:basedOn w:val="a"/>
    <w:next w:val="a"/>
    <w:link w:val="30"/>
    <w:semiHidden/>
    <w:unhideWhenUsed/>
    <w:qFormat/>
    <w:rsid w:val="007E722F"/>
    <w:pPr>
      <w:keepNext/>
      <w:numPr>
        <w:ilvl w:val="2"/>
        <w:numId w:val="1"/>
      </w:numPr>
      <w:spacing w:before="240" w:after="60"/>
      <w:outlineLvl w:val="2"/>
    </w:pPr>
    <w:rPr>
      <w:rFonts w:ascii="Cambria" w:hAnsi="Cambria"/>
      <w:sz w:val="26"/>
      <w:szCs w:val="26"/>
    </w:rPr>
  </w:style>
  <w:style w:type="paragraph" w:styleId="4">
    <w:name w:val="heading 4"/>
    <w:basedOn w:val="a"/>
    <w:next w:val="a"/>
    <w:link w:val="40"/>
    <w:semiHidden/>
    <w:unhideWhenUsed/>
    <w:qFormat/>
    <w:rsid w:val="007E722F"/>
    <w:pPr>
      <w:keepNext/>
      <w:numPr>
        <w:ilvl w:val="3"/>
        <w:numId w:val="1"/>
      </w:numPr>
      <w:spacing w:before="240" w:after="60"/>
      <w:outlineLvl w:val="3"/>
    </w:pPr>
    <w:rPr>
      <w:rFonts w:eastAsia="Arial Unicode MS"/>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aliases w:val="H3 Знак"/>
    <w:basedOn w:val="a0"/>
    <w:link w:val="3"/>
    <w:semiHidden/>
    <w:rsid w:val="007E722F"/>
    <w:rPr>
      <w:rFonts w:ascii="Cambria" w:eastAsia="Times New Roman" w:hAnsi="Cambria" w:cs="Times New Roman"/>
      <w:sz w:val="26"/>
      <w:szCs w:val="26"/>
      <w:lang w:eastAsia="ru-RU"/>
    </w:rPr>
  </w:style>
  <w:style w:type="character" w:customStyle="1" w:styleId="40">
    <w:name w:val="Заголовок 4 Знак"/>
    <w:basedOn w:val="a0"/>
    <w:link w:val="4"/>
    <w:semiHidden/>
    <w:rsid w:val="007E722F"/>
    <w:rPr>
      <w:rFonts w:eastAsia="Arial Unicode MS" w:cs="Times New Roman"/>
      <w:b/>
      <w:bCs/>
      <w:sz w:val="28"/>
      <w:szCs w:val="28"/>
      <w:lang w:eastAsia="ru-RU"/>
    </w:rPr>
  </w:style>
  <w:style w:type="character" w:styleId="a3">
    <w:name w:val="Hyperlink"/>
    <w:semiHidden/>
    <w:unhideWhenUsed/>
    <w:rsid w:val="007E722F"/>
    <w:rPr>
      <w:color w:val="0000FF"/>
      <w:u w:val="single"/>
    </w:rPr>
  </w:style>
  <w:style w:type="paragraph" w:styleId="HTML">
    <w:name w:val="HTML Preformatted"/>
    <w:basedOn w:val="a"/>
    <w:link w:val="HTML0"/>
    <w:unhideWhenUsed/>
    <w:rsid w:val="007E72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rsid w:val="007E722F"/>
    <w:rPr>
      <w:rFonts w:ascii="Courier New" w:eastAsia="Times New Roman" w:hAnsi="Courier New" w:cs="Courier New"/>
      <w:sz w:val="20"/>
      <w:szCs w:val="20"/>
      <w:lang w:eastAsia="ru-RU"/>
    </w:rPr>
  </w:style>
  <w:style w:type="paragraph" w:styleId="1">
    <w:name w:val="toc 1"/>
    <w:basedOn w:val="a"/>
    <w:next w:val="a"/>
    <w:autoRedefine/>
    <w:uiPriority w:val="39"/>
    <w:semiHidden/>
    <w:unhideWhenUsed/>
    <w:rsid w:val="007E722F"/>
    <w:pPr>
      <w:tabs>
        <w:tab w:val="left" w:pos="426"/>
        <w:tab w:val="right" w:leader="dot" w:pos="9923"/>
      </w:tabs>
      <w:ind w:left="426" w:hanging="426"/>
    </w:pPr>
    <w:rPr>
      <w:noProof/>
      <w:szCs w:val="20"/>
    </w:rPr>
  </w:style>
  <w:style w:type="paragraph" w:styleId="2">
    <w:name w:val="toc 2"/>
    <w:basedOn w:val="a"/>
    <w:next w:val="a"/>
    <w:autoRedefine/>
    <w:uiPriority w:val="39"/>
    <w:semiHidden/>
    <w:unhideWhenUsed/>
    <w:rsid w:val="007E722F"/>
    <w:pPr>
      <w:tabs>
        <w:tab w:val="left" w:pos="426"/>
        <w:tab w:val="right" w:pos="9923"/>
      </w:tabs>
      <w:ind w:left="1134" w:right="74" w:hanging="708"/>
    </w:pPr>
    <w:rPr>
      <w:rFonts w:ascii="Arial" w:hAnsi="Arial" w:cs="Arial"/>
      <w:b/>
      <w:bCs/>
      <w:noProof/>
      <w:sz w:val="18"/>
      <w:szCs w:val="20"/>
    </w:rPr>
  </w:style>
  <w:style w:type="paragraph" w:styleId="a4">
    <w:name w:val="Subtitle"/>
    <w:basedOn w:val="a"/>
    <w:link w:val="a5"/>
    <w:qFormat/>
    <w:rsid w:val="007E722F"/>
    <w:pPr>
      <w:jc w:val="center"/>
    </w:pPr>
    <w:rPr>
      <w:b/>
      <w:bCs/>
      <w:sz w:val="28"/>
      <w:szCs w:val="28"/>
      <w:u w:val="single"/>
    </w:rPr>
  </w:style>
  <w:style w:type="character" w:customStyle="1" w:styleId="a5">
    <w:name w:val="Подзаголовок Знак"/>
    <w:basedOn w:val="a0"/>
    <w:link w:val="a4"/>
    <w:rsid w:val="007E722F"/>
    <w:rPr>
      <w:rFonts w:eastAsia="Times New Roman" w:cs="Times New Roman"/>
      <w:b/>
      <w:bCs/>
      <w:sz w:val="28"/>
      <w:szCs w:val="28"/>
      <w:u w:val="single"/>
    </w:rPr>
  </w:style>
  <w:style w:type="paragraph" w:styleId="a6">
    <w:name w:val="No Spacing"/>
    <w:uiPriority w:val="1"/>
    <w:qFormat/>
    <w:rsid w:val="007E722F"/>
    <w:pPr>
      <w:spacing w:after="0" w:line="240" w:lineRule="auto"/>
    </w:pPr>
    <w:rPr>
      <w:rFonts w:eastAsia="Times New Roman" w:cs="Times New Roman"/>
      <w:sz w:val="24"/>
      <w:szCs w:val="24"/>
      <w:lang w:eastAsia="ru-RU"/>
    </w:rPr>
  </w:style>
  <w:style w:type="paragraph" w:customStyle="1" w:styleId="10">
    <w:name w:val="заголовок 1"/>
    <w:basedOn w:val="a"/>
    <w:next w:val="a"/>
    <w:rsid w:val="007E722F"/>
    <w:pPr>
      <w:keepNext/>
      <w:widowControl w:val="0"/>
      <w:snapToGrid w:val="0"/>
      <w:jc w:val="center"/>
    </w:pPr>
    <w:rPr>
      <w:b/>
      <w:sz w:val="22"/>
      <w:szCs w:val="20"/>
    </w:rPr>
  </w:style>
  <w:style w:type="paragraph" w:customStyle="1" w:styleId="a7">
    <w:name w:val="регламент список"/>
    <w:basedOn w:val="3"/>
    <w:autoRedefine/>
    <w:rsid w:val="007E722F"/>
    <w:pPr>
      <w:keepLines/>
      <w:spacing w:before="120" w:after="120" w:line="180" w:lineRule="atLeast"/>
      <w:outlineLvl w:val="9"/>
    </w:pPr>
    <w:rPr>
      <w:rFonts w:ascii="Times New Roman" w:hAnsi="Times New Roman"/>
      <w:b/>
      <w:bCs/>
      <w:spacing w:val="-5"/>
      <w:kern w:val="28"/>
      <w:sz w:val="24"/>
      <w:szCs w:val="20"/>
      <w:lang w:eastAsia="en-US"/>
    </w:rPr>
  </w:style>
  <w:style w:type="paragraph" w:customStyle="1" w:styleId="-6">
    <w:name w:val="Пункт-6"/>
    <w:basedOn w:val="a"/>
    <w:rsid w:val="007E722F"/>
    <w:pPr>
      <w:tabs>
        <w:tab w:val="num" w:pos="1701"/>
      </w:tabs>
      <w:spacing w:line="288" w:lineRule="auto"/>
      <w:ind w:firstLine="567"/>
      <w:jc w:val="both"/>
    </w:pPr>
    <w:rPr>
      <w:sz w:val="28"/>
    </w:rPr>
  </w:style>
  <w:style w:type="character" w:customStyle="1" w:styleId="style171">
    <w:name w:val="style171"/>
    <w:rsid w:val="007E722F"/>
    <w:rPr>
      <w:b/>
      <w:bCs/>
      <w:color w:val="660000"/>
    </w:rPr>
  </w:style>
  <w:style w:type="character" w:styleId="a8">
    <w:name w:val="Strong"/>
    <w:basedOn w:val="a0"/>
    <w:qFormat/>
    <w:rsid w:val="007E722F"/>
    <w:rPr>
      <w:b/>
      <w:bCs/>
    </w:rPr>
  </w:style>
</w:styles>
</file>

<file path=word/webSettings.xml><?xml version="1.0" encoding="utf-8"?>
<w:webSettings xmlns:r="http://schemas.openxmlformats.org/officeDocument/2006/relationships" xmlns:w="http://schemas.openxmlformats.org/wordprocessingml/2006/main">
  <w:divs>
    <w:div w:id="979067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gnovikov@luch.podolsk.ru" TargetMode="External"/><Relationship Id="rId13" Type="http://schemas.openxmlformats.org/officeDocument/2006/relationships/hyperlink" Target="http://www.a-k-d.ru/"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a-k-d.ru" TargetMode="External"/><Relationship Id="rId12" Type="http://schemas.openxmlformats.org/officeDocument/2006/relationships/hyperlink" Target="http://zakupki.rosatom.ru/"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www.cbr.ru" TargetMode="External"/><Relationship Id="rId1" Type="http://schemas.openxmlformats.org/officeDocument/2006/relationships/numbering" Target="numbering.xml"/><Relationship Id="rId6" Type="http://schemas.openxmlformats.org/officeDocument/2006/relationships/hyperlink" Target="http://www.zakupki.rosatom.ru/" TargetMode="External"/><Relationship Id="rId11" Type="http://schemas.openxmlformats.org/officeDocument/2006/relationships/hyperlink" Target="http://www.zakupki.gov.ru/" TargetMode="External"/><Relationship Id="rId5" Type="http://schemas.openxmlformats.org/officeDocument/2006/relationships/hyperlink" Target="http://www.zakupki.rosatom.ru/" TargetMode="External"/><Relationship Id="rId15" Type="http://schemas.openxmlformats.org/officeDocument/2006/relationships/hyperlink" Target="http://www.cbr.ru" TargetMode="External"/><Relationship Id="rId10" Type="http://schemas.openxmlformats.org/officeDocument/2006/relationships/hyperlink" Target="http://www.a-k-d.ru/" TargetMode="External"/><Relationship Id="rId4" Type="http://schemas.openxmlformats.org/officeDocument/2006/relationships/webSettings" Target="webSettings.xml"/><Relationship Id="rId9" Type="http://schemas.openxmlformats.org/officeDocument/2006/relationships/hyperlink" Target="http://www.a-k-d.ru/" TargetMode="External"/><Relationship Id="rId14"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3210</Words>
  <Characters>18298</Characters>
  <Application>Microsoft Office Word</Application>
  <DocSecurity>0</DocSecurity>
  <Lines>152</Lines>
  <Paragraphs>42</Paragraphs>
  <ScaleCrop>false</ScaleCrop>
  <Company>Your Company Name</Company>
  <LinksUpToDate>false</LinksUpToDate>
  <CharactersWithSpaces>21466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NSKrutiy</cp:lastModifiedBy>
  <cp:revision>4</cp:revision>
  <dcterms:created xsi:type="dcterms:W3CDTF">2014-07-14T04:51:00Z</dcterms:created>
  <dcterms:modified xsi:type="dcterms:W3CDTF">2014-07-15T05:57:00Z</dcterms:modified>
</cp:coreProperties>
</file>