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«УТВЕРЖДАЮ»</w:t>
      </w:r>
    </w:p>
    <w:p w:rsidR="005579FE" w:rsidRDefault="005137A6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Президент</w:t>
      </w:r>
      <w:r w:rsidR="005579FE">
        <w:rPr>
          <w:rFonts w:ascii="Times New Roman" w:hAnsi="Times New Roman"/>
          <w:sz w:val="28"/>
          <w:szCs w:val="28"/>
        </w:rPr>
        <w:t xml:space="preserve"> ОАО «НИАЭП»</w:t>
      </w:r>
    </w:p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</w:p>
    <w:p w:rsidR="005579FE" w:rsidRDefault="005579FE">
      <w:pPr>
        <w:tabs>
          <w:tab w:val="left" w:pos="1294"/>
          <w:tab w:val="left" w:pos="1939"/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>В.И. Лимаренко</w:t>
      </w:r>
    </w:p>
    <w:p w:rsidR="005579FE" w:rsidRDefault="006835EC">
      <w:pPr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 «___» ________ 201</w:t>
      </w:r>
      <w:r w:rsidR="00464394">
        <w:rPr>
          <w:rFonts w:ascii="Times New Roman" w:hAnsi="Times New Roman"/>
          <w:sz w:val="28"/>
          <w:szCs w:val="28"/>
        </w:rPr>
        <w:t>4</w:t>
      </w:r>
      <w:r w:rsidR="005579FE">
        <w:rPr>
          <w:rFonts w:ascii="Times New Roman" w:hAnsi="Times New Roman"/>
          <w:sz w:val="28"/>
          <w:szCs w:val="28"/>
        </w:rPr>
        <w:t xml:space="preserve"> г.</w:t>
      </w:r>
    </w:p>
    <w:p w:rsidR="005579FE" w:rsidRDefault="005579FE">
      <w:pPr>
        <w:ind w:left="5580"/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46F45" w:rsidRDefault="00746F45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46F45" w:rsidRDefault="00746F45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F64CA9" w:rsidRPr="00F64CA9" w:rsidRDefault="00F64CA9" w:rsidP="00F64CA9">
      <w:pPr>
        <w:jc w:val="center"/>
        <w:rPr>
          <w:rFonts w:ascii="Times New Roman" w:hAnsi="Times New Roman"/>
          <w:bCs/>
          <w:sz w:val="28"/>
          <w:szCs w:val="28"/>
        </w:rPr>
      </w:pPr>
      <w:r w:rsidRPr="00F64CA9">
        <w:rPr>
          <w:rFonts w:ascii="Times New Roman" w:hAnsi="Times New Roman"/>
          <w:bCs/>
          <w:sz w:val="28"/>
          <w:szCs w:val="28"/>
        </w:rPr>
        <w:t>ДОКУМЕНТАЦИЯ ПО ЗАПРОСУ ПРЕДЛОЖЕНИЙ</w:t>
      </w:r>
    </w:p>
    <w:p w:rsidR="00F64CA9" w:rsidRPr="00F64CA9" w:rsidRDefault="00F64CA9" w:rsidP="00F64CA9">
      <w:pPr>
        <w:jc w:val="center"/>
        <w:rPr>
          <w:rFonts w:ascii="Times New Roman" w:hAnsi="Times New Roman"/>
          <w:sz w:val="28"/>
          <w:szCs w:val="28"/>
        </w:rPr>
      </w:pPr>
      <w:r w:rsidRPr="00F64CA9"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F64CA9" w:rsidRPr="00F64CA9" w:rsidRDefault="00F64CA9" w:rsidP="00F64CA9">
      <w:pPr>
        <w:jc w:val="center"/>
        <w:rPr>
          <w:rFonts w:ascii="Times New Roman" w:hAnsi="Times New Roman"/>
          <w:sz w:val="28"/>
          <w:szCs w:val="28"/>
        </w:rPr>
      </w:pPr>
      <w:r w:rsidRPr="00F64CA9">
        <w:rPr>
          <w:rFonts w:ascii="Times New Roman" w:hAnsi="Times New Roman"/>
          <w:sz w:val="28"/>
          <w:szCs w:val="28"/>
        </w:rPr>
        <w:t xml:space="preserve">по лоту </w:t>
      </w:r>
      <w:r w:rsidR="008344C5">
        <w:rPr>
          <w:rFonts w:ascii="Times New Roman" w:hAnsi="Times New Roman"/>
          <w:sz w:val="28"/>
          <w:szCs w:val="28"/>
        </w:rPr>
        <w:t>№ 15</w:t>
      </w:r>
      <w:r w:rsidRPr="00F64CA9">
        <w:rPr>
          <w:rFonts w:ascii="Times New Roman" w:hAnsi="Times New Roman"/>
          <w:sz w:val="28"/>
          <w:szCs w:val="28"/>
        </w:rPr>
        <w:t>9ИТ/ЗП-014</w:t>
      </w:r>
    </w:p>
    <w:p w:rsidR="00F64CA9" w:rsidRPr="00F64CA9" w:rsidRDefault="008344C5" w:rsidP="00F64CA9">
      <w:pPr>
        <w:jc w:val="center"/>
        <w:rPr>
          <w:rFonts w:ascii="Times New Roman" w:hAnsi="Times New Roman"/>
          <w:caps/>
          <w:sz w:val="28"/>
          <w:szCs w:val="28"/>
        </w:rPr>
      </w:pPr>
      <w:r w:rsidRPr="008344C5">
        <w:rPr>
          <w:rFonts w:ascii="Times New Roman" w:hAnsi="Times New Roman"/>
          <w:b/>
          <w:sz w:val="28"/>
          <w:szCs w:val="28"/>
        </w:rPr>
        <w:t>Поставка картриджей, тонеров и запасных частей для оргтехники  по бюджету 3, 4 кв. 2014 года для нужд ОАО "НИАЭП"</w:t>
      </w:r>
    </w:p>
    <w:p w:rsidR="005579FE" w:rsidRPr="00F64CA9" w:rsidRDefault="005579FE">
      <w:pPr>
        <w:jc w:val="center"/>
        <w:rPr>
          <w:rFonts w:ascii="Times New Roman" w:hAnsi="Times New Roman"/>
          <w:caps/>
          <w:sz w:val="28"/>
          <w:szCs w:val="28"/>
        </w:rPr>
      </w:pPr>
      <w:r w:rsidRPr="00F64CA9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5579FE" w:rsidRPr="00855231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E159A5" w:rsidRPr="00855231" w:rsidRDefault="00E159A5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746F45" w:rsidRDefault="005579FE">
      <w:pPr>
        <w:jc w:val="center"/>
        <w:rPr>
          <w:rFonts w:ascii="Times New Roman" w:hAnsi="Times New Roman"/>
          <w:sz w:val="28"/>
          <w:szCs w:val="28"/>
        </w:rPr>
        <w:sectPr w:rsidR="00746F45" w:rsidSect="00746F45">
          <w:pgSz w:w="11906" w:h="16838"/>
          <w:pgMar w:top="568" w:right="424" w:bottom="1560" w:left="1210" w:header="720" w:footer="720" w:gutter="0"/>
          <w:cols w:space="720"/>
          <w:docGrid w:linePitch="360"/>
        </w:sectPr>
      </w:pPr>
      <w:r>
        <w:rPr>
          <w:rFonts w:ascii="Times New Roman" w:hAnsi="Times New Roman"/>
          <w:sz w:val="28"/>
          <w:szCs w:val="28"/>
        </w:rPr>
        <w:t>201</w:t>
      </w:r>
      <w:r w:rsidR="00113F67">
        <w:rPr>
          <w:rFonts w:ascii="Times New Roman" w:hAnsi="Times New Roman"/>
          <w:sz w:val="28"/>
          <w:szCs w:val="28"/>
        </w:rPr>
        <w:t>4</w:t>
      </w:r>
    </w:p>
    <w:p w:rsidR="00256D81" w:rsidRDefault="005579FE" w:rsidP="00746F45">
      <w:pPr>
        <w:pStyle w:val="2"/>
        <w:numPr>
          <w:ilvl w:val="0"/>
          <w:numId w:val="0"/>
        </w:numPr>
        <w:ind w:left="360"/>
        <w:jc w:val="center"/>
      </w:pPr>
      <w:bookmarkStart w:id="0" w:name="_Toc391320770"/>
      <w:r w:rsidRPr="00256D81">
        <w:lastRenderedPageBreak/>
        <w:t>Спецификация</w:t>
      </w:r>
      <w:bookmarkEnd w:id="0"/>
    </w:p>
    <w:p w:rsidR="00746F45" w:rsidRPr="00746F45" w:rsidRDefault="009E5221" w:rsidP="00746F45">
      <w:pPr>
        <w:pStyle w:val="23"/>
        <w:spacing w:line="276" w:lineRule="auto"/>
        <w:ind w:left="0"/>
        <w:outlineLvl w:val="0"/>
        <w:rPr>
          <w:rFonts w:ascii="Times" w:hAnsi="Times"/>
          <w:b/>
          <w:sz w:val="24"/>
          <w:szCs w:val="24"/>
        </w:rPr>
      </w:pPr>
      <w:bookmarkStart w:id="1" w:name="_Toc391320771"/>
      <w:r w:rsidRPr="00746F45">
        <w:rPr>
          <w:rFonts w:ascii="Times" w:hAnsi="Times"/>
          <w:b/>
          <w:sz w:val="24"/>
          <w:szCs w:val="24"/>
        </w:rPr>
        <w:t>Адрес поставки:</w:t>
      </w:r>
    </w:p>
    <w:p w:rsidR="009E5221" w:rsidRPr="00746F45" w:rsidRDefault="009E5221" w:rsidP="00746F45">
      <w:pPr>
        <w:pStyle w:val="23"/>
        <w:numPr>
          <w:ilvl w:val="0"/>
          <w:numId w:val="9"/>
        </w:numPr>
        <w:spacing w:line="276" w:lineRule="auto"/>
        <w:outlineLvl w:val="0"/>
        <w:rPr>
          <w:rFonts w:ascii="Times" w:hAnsi="Times"/>
          <w:b/>
          <w:sz w:val="24"/>
          <w:szCs w:val="24"/>
        </w:rPr>
      </w:pPr>
      <w:r w:rsidRPr="00746F45">
        <w:rPr>
          <w:rFonts w:ascii="Times" w:hAnsi="Times"/>
          <w:b/>
          <w:sz w:val="24"/>
          <w:szCs w:val="24"/>
        </w:rPr>
        <w:t xml:space="preserve"> </w:t>
      </w:r>
      <w:r w:rsidR="00F350DE" w:rsidRPr="00746F45">
        <w:rPr>
          <w:rFonts w:ascii="Times" w:hAnsi="Times"/>
          <w:b/>
          <w:sz w:val="24"/>
          <w:szCs w:val="24"/>
        </w:rPr>
        <w:t xml:space="preserve">по основной спецификации </w:t>
      </w:r>
      <w:r w:rsidRPr="00746F45">
        <w:rPr>
          <w:rFonts w:ascii="Times" w:hAnsi="Times"/>
          <w:b/>
          <w:sz w:val="24"/>
          <w:szCs w:val="24"/>
        </w:rPr>
        <w:t>ОАО «НИАЭП», 603006, г. Нижний Новгород, пл. Свободы, д. 3</w:t>
      </w:r>
      <w:bookmarkEnd w:id="1"/>
    </w:p>
    <w:p w:rsidR="00746F45" w:rsidRPr="00746F45" w:rsidRDefault="00746F45" w:rsidP="00746F45">
      <w:pPr>
        <w:pStyle w:val="23"/>
        <w:numPr>
          <w:ilvl w:val="0"/>
          <w:numId w:val="9"/>
        </w:numPr>
        <w:spacing w:line="276" w:lineRule="auto"/>
        <w:outlineLvl w:val="0"/>
        <w:rPr>
          <w:rFonts w:ascii="Times" w:hAnsi="Times"/>
          <w:b/>
          <w:sz w:val="24"/>
          <w:szCs w:val="24"/>
        </w:rPr>
      </w:pPr>
      <w:r>
        <w:rPr>
          <w:rFonts w:asciiTheme="minorHAnsi" w:hAnsiTheme="minorHAnsi"/>
          <w:b/>
          <w:bCs/>
          <w:color w:val="000000"/>
          <w:sz w:val="24"/>
          <w:szCs w:val="24"/>
        </w:rPr>
        <w:t>п</w:t>
      </w:r>
      <w:r w:rsidRPr="00746F45">
        <w:rPr>
          <w:rFonts w:ascii="Times" w:hAnsi="Times"/>
          <w:b/>
          <w:bCs/>
          <w:color w:val="000000"/>
          <w:sz w:val="24"/>
          <w:szCs w:val="24"/>
        </w:rPr>
        <w:t xml:space="preserve">о дополнительной спецификации  в соответствии с заявкой от Покупателя </w:t>
      </w: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720"/>
        <w:gridCol w:w="3969"/>
        <w:gridCol w:w="5943"/>
        <w:gridCol w:w="828"/>
        <w:gridCol w:w="992"/>
        <w:gridCol w:w="1298"/>
        <w:gridCol w:w="851"/>
        <w:gridCol w:w="567"/>
      </w:tblGrid>
      <w:tr w:rsidR="00F42D70" w:rsidRPr="005A7CEA" w:rsidTr="00F42D70">
        <w:trPr>
          <w:trHeight w:val="2004"/>
        </w:trPr>
        <w:tc>
          <w:tcPr>
            <w:tcW w:w="720" w:type="dxa"/>
            <w:vMerge w:val="restart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Наименование </w:t>
            </w: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[</w:t>
            </w: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артикул производителя</w:t>
            </w: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]</w:t>
            </w:r>
          </w:p>
        </w:tc>
        <w:tc>
          <w:tcPr>
            <w:tcW w:w="5943" w:type="dxa"/>
            <w:vMerge w:val="restart"/>
            <w:vAlign w:val="center"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Технические характеристики /допуск аналогов </w:t>
            </w:r>
            <w:proofErr w:type="gramStart"/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-т</w:t>
            </w:r>
            <w:proofErr w:type="gramEnd"/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ребования к аналогам</w:t>
            </w:r>
          </w:p>
        </w:tc>
        <w:tc>
          <w:tcPr>
            <w:tcW w:w="828" w:type="dxa"/>
            <w:vMerge w:val="restart"/>
            <w:shd w:val="clear" w:color="auto" w:fill="auto"/>
            <w:textDirection w:val="btLr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Ед. изм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Кол-во по основной спецификации</w:t>
            </w:r>
          </w:p>
        </w:tc>
        <w:tc>
          <w:tcPr>
            <w:tcW w:w="1298" w:type="dxa"/>
            <w:vMerge w:val="restart"/>
            <w:shd w:val="clear" w:color="auto" w:fill="auto"/>
            <w:textDirection w:val="btLr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Кол-во из дополнительной спецификации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Кол-во итого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6" w:space="0" w:color="auto"/>
            </w:tcBorders>
            <w:shd w:val="pct10" w:color="auto" w:fill="auto"/>
            <w:textDirection w:val="btLr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Срок гарантии, 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мес</w:t>
            </w:r>
            <w:proofErr w:type="gramEnd"/>
          </w:p>
        </w:tc>
      </w:tr>
      <w:tr w:rsidR="00F42D70" w:rsidRPr="005A7CEA" w:rsidTr="00F42D70">
        <w:trPr>
          <w:trHeight w:val="276"/>
        </w:trPr>
        <w:tc>
          <w:tcPr>
            <w:tcW w:w="720" w:type="dxa"/>
            <w:vMerge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43" w:type="dxa"/>
            <w:vMerge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28" w:type="dxa"/>
            <w:vMerge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42D70" w:rsidRPr="005A7CEA" w:rsidTr="00F42D70">
        <w:trPr>
          <w:cantSplit/>
          <w:trHeight w:val="62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345F2E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Носитель информации</w:t>
            </w:r>
          </w:p>
          <w:p w:rsidR="00F42D70" w:rsidRPr="00717B54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5F2E">
              <w:rPr>
                <w:rFonts w:ascii="Times New Roman" w:hAnsi="Times New Roman"/>
                <w:sz w:val="24"/>
                <w:szCs w:val="24"/>
                <w:lang w:val="en-US"/>
              </w:rPr>
              <w:t>DVD</w:t>
            </w:r>
            <w:r w:rsidRPr="00717B54">
              <w:rPr>
                <w:rFonts w:ascii="Times New Roman" w:hAnsi="Times New Roman"/>
                <w:sz w:val="24"/>
                <w:szCs w:val="24"/>
              </w:rPr>
              <w:t>+</w:t>
            </w:r>
            <w:r w:rsidRPr="00345F2E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717B54">
              <w:rPr>
                <w:rFonts w:ascii="Times New Roman" w:hAnsi="Times New Roman"/>
                <w:sz w:val="24"/>
                <w:szCs w:val="24"/>
              </w:rPr>
              <w:t xml:space="preserve"> 4.7</w:t>
            </w:r>
            <w:r w:rsidRPr="00345F2E">
              <w:rPr>
                <w:rFonts w:ascii="Times New Roman" w:hAnsi="Times New Roman"/>
                <w:sz w:val="24"/>
                <w:szCs w:val="24"/>
                <w:lang w:val="en-US"/>
              </w:rPr>
              <w:t>GB</w:t>
            </w:r>
          </w:p>
        </w:tc>
        <w:tc>
          <w:tcPr>
            <w:tcW w:w="5943" w:type="dxa"/>
          </w:tcPr>
          <w:p w:rsidR="00F42D70" w:rsidRPr="00345F2E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Тип носителя: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DVD</w:t>
            </w:r>
            <w:r>
              <w:rPr>
                <w:rFonts w:ascii="Times New Roman" w:hAnsi="Times New Roman"/>
                <w:sz w:val="24"/>
                <w:szCs w:val="24"/>
              </w:rPr>
              <w:t>+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42D7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Объем: 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4.7GB</w:t>
            </w:r>
          </w:p>
          <w:p w:rsidR="00F42D7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Скорость записи: 16Х</w:t>
            </w:r>
          </w:p>
          <w:p w:rsidR="00F42D70" w:rsidRPr="00717B5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Тип коробки: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Slim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42D70" w:rsidRPr="00345F2E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Каждый диск в отдельном пластиковом боксе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62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Носитель информации</w:t>
            </w:r>
          </w:p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CD-R  700MB</w:t>
            </w:r>
            <w:r w:rsidRPr="005A7CEA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5943" w:type="dxa"/>
          </w:tcPr>
          <w:p w:rsidR="00F42D70" w:rsidRPr="00717B5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Тип носителя: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CD</w:t>
            </w:r>
            <w:r w:rsidRPr="00717B5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</w:p>
          <w:p w:rsidR="00F42D7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Объем: </w:t>
            </w:r>
            <w:r w:rsidRPr="00345F2E">
              <w:rPr>
                <w:rFonts w:ascii="Times New Roman" w:hAnsi="Times New Roman"/>
                <w:sz w:val="24"/>
                <w:szCs w:val="24"/>
              </w:rPr>
              <w:t xml:space="preserve">700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B</w:t>
            </w:r>
          </w:p>
          <w:p w:rsidR="00F42D7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Скорость записи: </w:t>
            </w:r>
            <w:r w:rsidRPr="00345F2E">
              <w:rPr>
                <w:rFonts w:ascii="Times New Roman" w:hAnsi="Times New Roman"/>
                <w:sz w:val="24"/>
                <w:szCs w:val="24"/>
              </w:rPr>
              <w:t>52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  <w:p w:rsidR="00F42D70" w:rsidRPr="00345F2E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Тип коробки: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Slim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Каждый диск в отдельном пластиковом боксе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Ricoh  SP C252HE черный [407716]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тонер-картридж высокой емкости. Тип:  SP C252HE </w:t>
            </w:r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цвет тонера: черный, ресурс 6500 страниц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Ricoh SP C252HE голубой  [407717]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тонер-картридж высокой емкости. Тип:  SP C252HE </w:t>
            </w:r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цвет тонера: голубой, ресурс 6000 страниц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Ricoh SP C252HE малиновый  [407718]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тонер-картридж высокой емкости. Тип:  SP C252HE</w:t>
            </w:r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цвет тонера: малиновый, ресурс 6000 страниц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Ricoh SP C252HE желтый  [407719]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тонер-картридж высокой емкости. Тип:  SP C252HE</w:t>
            </w:r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цвет тонера: желтый, ресурс 6000 страниц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Kyocera тип TK-8325С голубой [1T02NPCNL0]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тонер-картридж TK-8325С</w:t>
            </w:r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Бирюзовый тонер на 12000 страниц. Средний расход тонера при 5 % заполнении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 xml:space="preserve">. Предложение аналога не допускается** </w:t>
            </w:r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Kyocera тип TK-8325M пурпурный [1T02NPBNL0]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онер-картридж 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TK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-8325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</w:t>
            </w:r>
          </w:p>
          <w:p w:rsidR="00F42D70" w:rsidRPr="005A7CEA" w:rsidRDefault="00F42D70" w:rsidP="008344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Малиновый тонер на 12000 страниц. Средний расход тонера при 5 % заполнении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 xml:space="preserve">. Предложение аналога не допускается**  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Kyocera тип TK-8325Y жёлтый [1T02NPANL0]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онер-картридж 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TK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-8325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Y</w:t>
            </w:r>
          </w:p>
          <w:p w:rsidR="00F42D70" w:rsidRPr="005A7CEA" w:rsidRDefault="00F42D70" w:rsidP="008344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Жёлтый тонер на 12000 страниц. Средний расход тонера при 5 % заполнении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Kyocera тип TK-8325К чёрный [1T02NP0NL0]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онер-картридж TK-8325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</w:t>
            </w:r>
          </w:p>
          <w:p w:rsidR="00F42D70" w:rsidRPr="005A7CEA" w:rsidRDefault="00F42D70" w:rsidP="008344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Чёрный тонер на 18000 страниц. Средний расход тонера при 5% заполнении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тип 1230D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[885094\842015]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картридж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Ricoh Aficio MP1600/2000 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тип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1230D. 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тоне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р-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Ресурс 9000 страниц при 6% заполнении листа формата А4.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8A7D95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Принт-картридж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Xerox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WC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3220 [106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01487]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 Принт-картридж повышенной ёмкости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Xerox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WC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3210/3220 . Ресурс 4100 страниц при 5% заполнении листа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 xml:space="preserve"> Предложение аналога не допускается**.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тип TK-725 [1T02KR0NL0]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tabs>
                <w:tab w:val="left" w:pos="1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ab/>
              <w:t xml:space="preserve">Оригинальный тонер-картридж для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Kyocera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TaskAlfa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420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. Ресурс 34000 страниц при 6% заполнении листа формата A4.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тип TK-435 [1T02KH0NL0]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тонер-картридж  для Kyocera TASKalfa 181i/221i  Ресурс 15 000 стр. при 6% заполнении листа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тип TK-8315K чёрный  [1T02MV0NL0]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тонер-картридж для Kyocera TaskAlfa 2550ci. Чёрный тонер на 12000 страниц. Средний расход тонера при 5% заполнении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тип TK-8315C голубой [1T02MVCNL0]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тонер-картридж для Kyocera TaskAlfa 2550ci. Голубой тонер на 6000 страниц. Средний расход тонера при 5 % заполнении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Тонер-картридж тип TK-8315Y жёлтый [1T02MVANL0] 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тонер-картридж для Kyocera TaskAlfa 2550ci.  Жёлтый тонер на 6000 страниц. Средний расход тонера при 5 % заполнении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 xml:space="preserve"> Предложение аналога не допускается**.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Тонер-картридж тип TK-8315M пурпурный [1T02MVBNL0] 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тонер-картридж для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Kyocera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TaskAlfa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2550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ci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. Малиновый тонер на 6000 страниц. Средний расход тонера при 5 % заполнении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тип TK-18 [1T02FM0EU0 / 370QB0KX]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тонер-картридж для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Kyocera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FS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-1118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. Ресурс 7 200 страниц при 6% заполнении листа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тип TK-1140 [1T02ML0NL0]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тонер-картридж для Kyocera FS-1035MFP. Ресурс 7 200 страниц при 6% заполнении листа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 xml:space="preserve"> Предложение аналога не допускается**.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тип TK-130 [1T02HS0EU0]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тонер-картридж для Kyocera FS-1128MFP . Ресурс 7 200 страниц при 6% заполнении листа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Принт-картридж Ricoh SP3200E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[402887/407162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]</w:t>
            </w:r>
            <w:proofErr w:type="gramEnd"/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принт-картридж. Ресурс принт-картриджа 8 000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Q2612A [Q2612A]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картридж hp. Ресурс черного картриджа 2000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 xml:space="preserve"> Предложение аналога не допускается**.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СВ436А [СВ436А]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картридж hp. Ресурс черного картриджа 2000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 xml:space="preserve"> Предложение аналога не допускается**.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ab/>
              <w:t>Тонер-картридж Ricoh тип МРС3000Е чёрный [884946/888640].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tabs>
                <w:tab w:val="left" w:pos="68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тонер-картридж для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Ricoh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MP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2500.  Ресурс чёрного тонер-картриджа 20000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Ricoh тип МРС3000Е жёлтый  [884947/842031]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тонер-картридж  для Ricoh MP C2500. Ресурс жёлтого тонер-картриджа 15000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Ricoh тип МРС3000Е пурпурный  [884948/842032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 xml:space="preserve"> ]</w:t>
            </w:r>
            <w:proofErr w:type="gramEnd"/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тонер-картридж  для Ricoh MP C2500. Ресурс пурпурного тонер-картриджа 15000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 Ricoh MPC3300E [841579/ 841124]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тонер-картридж тип Ricoh MPC3300E черный для Aficio MPC2800/ C3300. Ресурс тонера  20000 стр.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ЕР-27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tabs>
                <w:tab w:val="left" w:pos="2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черный картридж Canon для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MF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3110/3228. Ресурс 2 500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Картридж Q7516А [Q7516А</w:t>
            </w:r>
            <w:proofErr w:type="gramEnd"/>
          </w:p>
        </w:tc>
        <w:tc>
          <w:tcPr>
            <w:tcW w:w="5943" w:type="dxa"/>
          </w:tcPr>
          <w:p w:rsidR="00F42D70" w:rsidRPr="005A7CEA" w:rsidRDefault="00F42D70" w:rsidP="008344C5">
            <w:pPr>
              <w:tabs>
                <w:tab w:val="left" w:pos="10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картридж hp. Ресурс черного картриджа 12000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С9731А (№645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) голубой. 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картридж hp C9731A (№645A) голубой для HP 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olor LaserJet 5500/5550. Ресурс цветного картриджа при 5% заполнении  12000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Картридж С9732А (№645A)  жёлтый. 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картридж hp C9732A (№645A) жёлтый для HP 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olor LaserJet 5500/5550. Ресурс цветного картриджа при 5% заполнении  12000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С9733А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(№645A)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пурпурный. 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картридж hp C9733A (№645A) пурпурный для HP 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olor LaserJet 5500/5550. Ресурс цветного картриджа при 5% заполнении  12000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34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CB540А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(№125A)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чёрный.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картридж hp чёрный для HP 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olor LaserJet CM1312nfi. Ресурс цветного картриджа при 5% заполнении  2200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CB54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А (№125A) голубой.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картридж hp голубой для HP 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olor LaserJet CM1312nfi. Ресурс цветного картриджа при 5% заполнении  1400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CB54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А (№125A) жёлтый.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tabs>
                <w:tab w:val="left" w:pos="79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картридж hp жёлтый для HP 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olor LaserJet CM1312nfi. Ресурс цветного картриджа при 5% заполнении  1400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CB54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А (№125A) пурпурный.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картридж hp пурпурный для HP 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olor LaserJet CM1312nfi. Ресурс цветного картриджа при 5% заполнении  1400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CC530А (№304A)  чёрный.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картридж hp чёрный для HP 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olor LaserJet CP2025n/CM2330nf. Ресурс цветного картриджа при 5% заполнении  3500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повышенной емкости Ricoh SPC310HE чёрный [406479]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картридж повышенной ёмкости для Ricoh SP C242SF. Ресурс 6500 страниц при 5% заполнении листа.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повышенной емкости Ricoh SPC310HE голубой [406480]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tabs>
                <w:tab w:val="left" w:pos="3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картридж повышенной ёмкости для Ricoh SP C242SF. Ресурс 6500 страниц при 5% заполнении листа.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62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повышенной емкости Ricoh SPC310HE жёлтый [406481]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tabs>
                <w:tab w:val="left" w:pos="2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картридж повышенной ёмкости для Ricoh SP C242SF. Ресурс 6500 страниц при 5% заполнении листа.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повышенной емкости Ricoh SPC310HE пурпурный [406482]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tabs>
                <w:tab w:val="left" w:pos="25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картридж повышенной ёмкости для Ricoh SP C242SF. Ресурс 6500 страниц при 5% заполнении листа.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43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«Q5949А»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Q5949А. Оригинальный картридж hp Q5949A (№49A) чёрный для HP LaserJet 1320/1160 Ресурс картриджа при 5% заполнении  2500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«С7115А»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С7115А (№15A). Оригинальный картридж hp C7115A  чёрный  для HP LJ 1000/1200/1220/3300/1000W/1005W. Ресурс картриджа при 5% заполнении  2500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«Q2613А»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Q2613А (№13A). Оригинальный картридж hp Q2613A  чёрный  для HP LJ 1300 Ресурс картриджа при 5% заполнении  2500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Картридж «СВ435А» 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«СВ435А» Оригинальный картридж hp СВ435А [№35А] для HP LJ P1005/P1006/ Ресурс картриджа 1500 страниц формата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KX-FAT92A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Тонер-картридж KX-FAT92A. Оригинальный тонер-картридж для Panasonic KX-MB283, KX-MB763. Ресурс черного картриджа  2000 страниц при 5%-заполнении. Предложение аналога не допускается**  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KX-FA85A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KX-FA85A. Оригинальный тонер-картридж для Panasonic KX-FLB813/851/853 . Ресурс тоне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р-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 xml:space="preserve"> картриджа  5000 страниц при 5%-заполнении.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КХ-FA83А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Тонер-картридж КХ-FA83А. Оригинальный тонер-картридж для  Panasonic KX-FLM653/663  . Ресурс тоне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р-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 xml:space="preserve"> картриджа  2500 страниц при 5%-заполнении.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Epson T0732 / T0732N 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голубой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[C13T07324A10 / C13T10524A10]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tabs>
                <w:tab w:val="left" w:pos="60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картридж для Epson Stylus C79, Stylus C110. Ресурс </w:t>
            </w:r>
            <w:r>
              <w:rPr>
                <w:rFonts w:ascii="Times New Roman" w:hAnsi="Times New Roman"/>
                <w:sz w:val="24"/>
                <w:szCs w:val="24"/>
              </w:rPr>
              <w:t>голубого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картриджа 250 страниц.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EPSON T0734 / T0734N 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жёлтый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[C13T10544A10 / C13T07344A10]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картридж для Epson Stylus C79, Stylus C110. Ресурс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жёлтого 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картриджа 250 страниц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t xml:space="preserve"> </w:t>
            </w:r>
            <w:r w:rsidRPr="00345F2E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52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Epson Т0733/T0733N пурпурный [C13T10534A10/ C13T07334A]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tabs>
                <w:tab w:val="left" w:pos="4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картридж для Epson Stylus C79, Stylus C110. Ресурс пурпурного картриджа 250 страниц.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Epson 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Т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0731/T0731N 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чёрный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[C13T10514A10 / C13T07314A10]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картридж для Epson Stylus C79, Stylus C110. Ресурс черного картриджа 245 страниц. Предложение аналога не допускается** 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CH563HE (№122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XL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) черный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tabs>
                <w:tab w:val="left" w:pos="16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струйный картридж HP увеличенной емкости чёрный для 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DeskJet 2050, 3050.  Ресурс черного картриджа 480 страниц.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HP CH564HE (№ 122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XL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) цветной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струйный картридж HP увеличенной емкости цветной для DeskJet 2050, 3050 Ресурс </w:t>
            </w:r>
            <w:r>
              <w:rPr>
                <w:rFonts w:ascii="Times New Roman" w:hAnsi="Times New Roman"/>
                <w:sz w:val="24"/>
                <w:szCs w:val="24"/>
              </w:rPr>
              <w:t>цветного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картриджа 330 страниц. Предложение аналога не допускается** 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HP 51645A (№45) чёрный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чёрный струйный картридж для принтеров HP DJ 710C/8X0/930C/1220C. Ресурс чёрного картриджа 830 страниц.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HP C6615DE (№15) чёрный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tabs>
                <w:tab w:val="left" w:pos="45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Оригинальный чёрный струйный картридж для принтеров HP Deskjet 810c,  840c/ 920c/ 940c. Ресурс чёрного картриджа при заполнении 5% 495 страниц. Предложение аналога не допускается**  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HP C6578DE   (№78) цветной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tabs>
                <w:tab w:val="left" w:pos="53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 Оригинальный цветной струйный картридж для принтеров HP DJ 9xx/1220/6122.  Ресурс цветного картриджа при заполнении 5%  450 страниц.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 C9351AE (№21)  чёрный.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картридж hp. Чернильный картридж для струйных принтеров HP Deskjet 3920//D2460. Ресурс черного картриджа  190 страниц.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«С9352АЕ» (№22) цветной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картридж hp. Чернильный картридж для струйных принтеров HP Deskjet 3920//D2460. Ресурс цветного картриджа 165 страниц при 5% заполнении.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61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Картридж C6656AE (№56) чёрный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tabs>
                <w:tab w:val="left" w:pos="32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Оригинальный картридж hp. Чернильный картридж для струйных принтеров HP  DeskJet 5150/5160/5550. Ресурс черного картриджа 520 страниц.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Комплект картриджей 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Epson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T0817, T0817N (C13T08174A10)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tabs>
                <w:tab w:val="left" w:pos="45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ab/>
              <w:t>Комплект картриджей 6 цветов  для Epson Stylus Photo 1410, R270, R290 (комплект, 6x11 мл.) MultiPack . Ресурс картриджей, стр. А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>: с голубыми чернилами - 1560, с желтыми чернилами - 760, с пурпурными чернилами - 720, с черными - 410, со светло-голубыми - 680, со светло-пурпурными - 990.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Блок проявки  чёрный Ricoh MP C2030 (D809 3001)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Блок проявки  чёрный Ricoh MP C2030.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Блок проявки  голубой Ricoh MP C2030 (D809 3002)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Блок проявки  голубой Ricoh MP C2030. Предложение аналога не допускается**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Блок проявки  пурпурный Ricoh MP C2030 (D809 3003)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Блок проявки  пурпурный Ricoh MP C2030.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Блок проявки  жёлтый Ricoh MP C2030 (D809 3004)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Блок проявки  жёлтый Ricoh MP C2030.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Блок фотобарабана Ricoh MP C2030 (D039 2040)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Блок фотобарабана Ricoh MP C2030. Предложение аналога не допускается**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Устройство переноса изображения  Ricoh MP C2030 (D039 6003)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Устройство переноса изображения  Ricoh MP C2030.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Устройство закрепления  Ricoh MP C2030 (D039 4022)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Устройство закрепления изображения Ricoh MP C2030.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92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Ремень устройства закрепления  Ricoh MP C2030 (D039 4056)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Ремень устройства закрепления изображения  Ricoh MP C2030.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Ролик устройства закрепления Ricoh MP C2030 (АЕ02 0175)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Ролик устройства закрепления Ricoh MP C2030. Предложение аналога не допускается**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Натяжной ролик Ricoh MP C2030 (АЕ04 0070)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Натяжной ролик устройства закрепления Ricoh MP C2030.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Блок фотобарабана Panasonic KX-FLB883 (KX-FA86A)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Блок фотобарабана Panasonic KX-FLB883. Предложение аналога не допускается**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74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Тефлоновый вал Panasonic KX-FLB883 (PFDS1015Y)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Тефлоновый вал Panasonic KX-FLB883.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56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Шарнир крепления автоподатчика Xerox WC3220 (JC97-03220A\003N01051)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Шарнир крепления автоподатчика Xerox WC3220. Предложение аналога не допускается**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Ролик подачи с муфтой Ricoh MP C2030 (D105 1164)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Ролик подачи с муфтой Ricoh MP C2030.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Датчик окончания бумаги 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бумаги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 xml:space="preserve"> Ricoh MP C2030 (B039 2730)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Датчик окончания бумаги 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бумаги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 xml:space="preserve"> Ricoh MP C2030.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Фотобарабан Ricoh MP 2000 (В039 9510)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Фотобарабан Ricoh MP 2000 Предложение аналога не допускается**.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Девелопер Ricoh MP 2000 (B121 9640)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Девелопер Ricoh MP 2000 Предложение аналога не допускается**.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Зарядный ролик Ricoh MP2000 (AD02 7018)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Зарядный ролик Ricoh MP2000 Предложение аналога не допускается**.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Выходной ролик Ricoh MP2000 (B259 4471)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Выходной ролик устройства закрепления Ricoh MP2000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Чистящая щётка Ricoh MP2000 (AD04 2058)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Чистящая щётка Ricoh MP2000 Предложение аналога не допускается**.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Очистной нож фотобарабана Ricoh MP2000 (AD04 2059)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Очистной нож фотобарабана Ricoh MP2000 Предложение аналога не допускается**.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Отделитель фотобарабана Ricoh MP2000 (В039 2335)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Отделитель фотобарабана Ricoh MP2000 Предложение аналога не допускается**.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Отделитель тефлонового вала Ricoh MP2000 (AE04 4062)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Отделитель тефлонового вала Ricoh MP2000 Предложение аналога не допускается**.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Устройство переноса изображения  Ricoh MP C2551 (D105 6003)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Устройство переноса изображения  Ricoh MP C2551.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Площадка отделения бумаги Xerox WC3220 (019N00957)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Площадка отделения бумаги Xerox WC3220 Предложение аналога не допускается**.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Ролик подачи бумаги Xerox WC3220 (130N01540)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Ролик подачи бумаги Xerox WC3220 Предложение аналога не допускается**.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Шестерня тефлонового вала Xerox WC3220 (JC66-01254A)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Шестерня привода тефл Предложение аналога не допускается**онового вала Xerox WC3220.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Устройство закрепления  Xerox WC3220 (126N00347)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Устройство закрепления  Xerox WC3220 Предложение аналога не допускается**.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91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Тефлоновый вал Xerox WC3220 (022N02356)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Тефлоновый вал Xerox WC3220 Предложение аналога не допускается**.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Блок фотобарабана Kyocera FS-1128MFP DK-150 (2H493010)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Блок фотобарабана Kyocera FS-1128MFP Предложение аналога не допускается**.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Устройство закрепления Kyocera FS-1128MFP FK-150 (302H493020)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Устройство закрепления Kyocera FS-1128MFP Предложение аналога не допускается**.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Тефлоновый вал Kyocera FS-1128MFP (302H425010)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Тефлоновый вал Kyocera FS-1128MFP Предложение аналога не допускается**.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Муфта подачи бумаги Kyocera FS-1128MFP(302HN44110)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Муфта подачи бумаги Kyocera FS-1128MFP Предложение аналога не допускается**.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Блок фотобарабана Kyocera FS-1035MFP DK-170 (302LZ93060)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Блок фотобарабана Kyocera FS-1035MFP. Предложение аналога не допускается**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Сервисный комплект Kyocera TA 2550ci MK-8315A (1702MV0UN0)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Сервисный комплект Kyocera TA 2550ci MK-8315A. Предложение аналога не допускается**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Сервисный комплект Kyocera TA 2550ci MK-8315B (1702MV0UN1)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Сервисный комплект Kyocera TA 2550ci MK-8315B.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Тефлоновый вал Kyocera TA420i (302GR94270)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Тефлоновый вал Kyocera TA420i. Предложение аналога не допускается**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Комплект обслуживания Kyocera TA221 MK-460 (1702KH0UN0)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Комплект обслуживания Kyocera TA221.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Направляющая бумаги Ricoh SP C242SF (М096 4076)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Направляющая бумаги Ricoh SP C242SF.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Девелопер K Ricoh MP 2001SP (D158 9640)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Девелопер Type K для Ricoh Aficio MP2001SP/MP2501SP.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Устройство закрепления Ricoh MP2001SP (D158 4004)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Устройство закрепления изображения Ricoh MP2001SP.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Тефлоновый вал Ricoh MP2001SP (AE01 1140)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Тефлоновый вал Ricoh MP2001SP.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Комплект роликов Kodak i2400 (148 4864)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Комплект роликов Kodak i2400. 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Модуль отделения Kodak i2400 (173 6115)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Модуль отделения Kodak i2400. Предложение аналога не допускается**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Комплект обслуживания fi-5650C / fi-5750C  (CON-3338-008A)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Комплект обслуживания fi-5650C / fi-5750C. Предложение аналога не допускается**  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56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108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Жесткий диск 2.5" WD Scorpio Black WD5000BPKX 500 ГБ (WD5000BPKX)</w:t>
            </w:r>
          </w:p>
        </w:tc>
        <w:tc>
          <w:tcPr>
            <w:tcW w:w="5943" w:type="dxa"/>
          </w:tcPr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Тип жесткого диска: HDD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Форм-фактор: 2.5 "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Объем накопителя: 500 Гб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Интерфейс: SATA III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Буферная память: 16 Мб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Скорость вращения шпинделя:7200 </w:t>
            </w:r>
            <w:proofErr w:type="gramStart"/>
            <w:r w:rsidRPr="0070558C">
              <w:rPr>
                <w:rFonts w:ascii="Times New Roman" w:hAnsi="Times New Roman"/>
                <w:sz w:val="24"/>
                <w:szCs w:val="24"/>
              </w:rPr>
              <w:t>об</w:t>
            </w:r>
            <w:proofErr w:type="gramEnd"/>
            <w:r w:rsidRPr="0070558C">
              <w:rPr>
                <w:rFonts w:ascii="Times New Roman" w:hAnsi="Times New Roman"/>
                <w:sz w:val="24"/>
                <w:szCs w:val="24"/>
              </w:rPr>
              <w:t>/мин.</w:t>
            </w:r>
          </w:p>
          <w:p w:rsidR="00F42D70" w:rsidRPr="000901C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56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Жесткий диск 3.5" WD Caviar Blue WD5000AAKX, 500Гб, HDD, SATA III (WD5000AAKX)</w:t>
            </w:r>
          </w:p>
        </w:tc>
        <w:tc>
          <w:tcPr>
            <w:tcW w:w="5943" w:type="dxa"/>
          </w:tcPr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Тип жесткого диска: HDD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Форм-фактор: 3.5 "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Объем накопителя: 500 Гб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Интерфейс: SATA III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Буферная память:16 Мб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Скорость вращения шпинделя:7200 </w:t>
            </w:r>
            <w:proofErr w:type="gramStart"/>
            <w:r w:rsidRPr="0070558C">
              <w:rPr>
                <w:rFonts w:ascii="Times New Roman" w:hAnsi="Times New Roman"/>
                <w:sz w:val="24"/>
                <w:szCs w:val="24"/>
              </w:rPr>
              <w:t>об</w:t>
            </w:r>
            <w:proofErr w:type="gramEnd"/>
            <w:r w:rsidRPr="0070558C">
              <w:rPr>
                <w:rFonts w:ascii="Times New Roman" w:hAnsi="Times New Roman"/>
                <w:sz w:val="24"/>
                <w:szCs w:val="24"/>
              </w:rPr>
              <w:t>/мин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Переходник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TRENDnet USB to PS\2  (TU-PS2 (Version v2.0R))</w:t>
            </w:r>
          </w:p>
        </w:tc>
        <w:tc>
          <w:tcPr>
            <w:tcW w:w="5943" w:type="dxa"/>
          </w:tcPr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Интерфейс: USB 1.1/1.0 interface type A, PS/2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Стандарт: PS/2 Keyboard &amp; Mouse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Совместимость с ОС: Windows® 8.1, 8, 7, Vista, XP, Mac OS® 10.4-10.9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Длина кабеля: 33.8 см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Скорость передачи данных: 1.5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Mbps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50">
              <w:rPr>
                <w:rFonts w:ascii="Times New Roman" w:hAnsi="Times New Roman"/>
                <w:sz w:val="24"/>
                <w:szCs w:val="24"/>
              </w:rPr>
              <w:t xml:space="preserve">Потребляемая мощность: 500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mA</w:t>
            </w:r>
            <w:r w:rsidRPr="005F675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max</w:t>
            </w:r>
            <w:r w:rsidRPr="005F675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50">
              <w:rPr>
                <w:rFonts w:ascii="Times New Roman" w:hAnsi="Times New Roman"/>
                <w:sz w:val="24"/>
                <w:szCs w:val="24"/>
              </w:rPr>
              <w:t>Вес: 45 г.</w:t>
            </w:r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Переходник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TRENDnet USB-IDE/SATA (TU2-IDSA (Version v1.2R)</w:t>
            </w:r>
            <w:proofErr w:type="gramStart"/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5943" w:type="dxa"/>
          </w:tcPr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Интерфейс: USB 2.0/1.1, Serial ATA 1.0a, UATA 133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Совместимость с ОС: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Windows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 xml:space="preserve"> 8.1\8\7\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Vista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>\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XP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Mac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OS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 xml:space="preserve"> 10.4-10.9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Разъемы: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SATA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IDE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 xml:space="preserve">, преобразователь из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IDE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 xml:space="preserve"> 2.5" в 3.5",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>, Сетевой штекер 2.1 мм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Скорость передачи данных: 1.5/12/480 Мбит/с (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Вес: 45 г</w:t>
            </w:r>
            <w:proofErr w:type="gramStart"/>
            <w:r w:rsidRPr="0070558C">
              <w:rPr>
                <w:rFonts w:ascii="Times New Roman" w:hAnsi="Times New Roman"/>
                <w:sz w:val="24"/>
                <w:szCs w:val="24"/>
              </w:rPr>
              <w:t>.(</w:t>
            </w:r>
            <w:proofErr w:type="gramEnd"/>
            <w:r w:rsidRPr="0070558C">
              <w:rPr>
                <w:rFonts w:ascii="Times New Roman" w:hAnsi="Times New Roman"/>
                <w:sz w:val="24"/>
                <w:szCs w:val="24"/>
              </w:rPr>
              <w:t>Адаптер), 240 г. (Электропитание)</w:t>
            </w:r>
          </w:p>
          <w:p w:rsidR="00F42D70" w:rsidRPr="000901C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112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Адаптер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TRENDnet USB - 10/100 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Мбит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(TU2-ET100 (Version v4.0R))</w:t>
            </w:r>
          </w:p>
        </w:tc>
        <w:tc>
          <w:tcPr>
            <w:tcW w:w="5943" w:type="dxa"/>
          </w:tcPr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Стандарты: USB 2.0, 1.1, 1.0\ IEEE 802.3 10Base-T\IEEE 802.3u 100Base-TX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Скорость передачи данных: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Ethernet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>: 10/20 Мбит/с (полудуплексный/дуплексный режим),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Fast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Ethernet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>: 100/200 Мбит/с (полудуплексный/дуплексный)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Встроенные буферы: 20 Кб статического ОЗУ для буферизации пакетов на прием,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8 Кб статического ОЗУ для буферизации пакетов на передачу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Совместмость с ОС: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Windows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 xml:space="preserve"> 8.1\8\7\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Vista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>\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XP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Mac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OS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 xml:space="preserve">  10.4-10.8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Габариты: 66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 xml:space="preserve"> 22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70558C">
              <w:rPr>
                <w:rFonts w:ascii="Times New Roman" w:hAnsi="Times New Roman"/>
                <w:sz w:val="24"/>
                <w:szCs w:val="24"/>
              </w:rPr>
              <w:t xml:space="preserve"> 15 мм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Длина кабель: 245 мм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50">
              <w:rPr>
                <w:rFonts w:ascii="Times New Roman" w:hAnsi="Times New Roman"/>
                <w:sz w:val="24"/>
                <w:szCs w:val="24"/>
              </w:rPr>
              <w:t>Вес: 25 г.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Разветвитель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USB D-Link DUB-H7 (DUB-H7/B/B1A)</w:t>
            </w:r>
          </w:p>
        </w:tc>
        <w:tc>
          <w:tcPr>
            <w:tcW w:w="5943" w:type="dxa"/>
          </w:tcPr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Интерфейсы: 7 портов USB Downstream типа «A» (с типом разъема «female»), 1 порт USB Upstream типа «B» (с типом разъема «female»)</w:t>
            </w:r>
          </w:p>
          <w:p w:rsidR="00F42D70" w:rsidRPr="008344C5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44C5">
              <w:rPr>
                <w:rFonts w:ascii="Times New Roman" w:hAnsi="Times New Roman"/>
                <w:sz w:val="24"/>
                <w:szCs w:val="24"/>
              </w:rPr>
              <w:t>Подключение до 127 устройств, до 5 концентраторов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Ток: 0,5</w:t>
            </w:r>
            <w:proofErr w:type="gramStart"/>
            <w:r w:rsidRPr="0070558C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70558C">
              <w:rPr>
                <w:rFonts w:ascii="Times New Roman" w:hAnsi="Times New Roman"/>
                <w:sz w:val="24"/>
                <w:szCs w:val="24"/>
              </w:rPr>
              <w:t xml:space="preserve"> для всех 7 портов, 1,2 А для двух портов быстрой зарядки</w:t>
            </w:r>
          </w:p>
          <w:p w:rsidR="00F42D70" w:rsidRPr="000901C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 xml:space="preserve">Мышь HP лазерная проводная, USB, retail, </w:t>
            </w:r>
            <w:proofErr w:type="gramStart"/>
            <w:r w:rsidRPr="005A7CEA">
              <w:rPr>
                <w:rFonts w:ascii="Times New Roman" w:hAnsi="Times New Roman"/>
                <w:sz w:val="24"/>
                <w:szCs w:val="24"/>
              </w:rPr>
              <w:t>черный</w:t>
            </w:r>
            <w:proofErr w:type="gramEnd"/>
            <w:r w:rsidRPr="005A7CEA">
              <w:rPr>
                <w:rFonts w:ascii="Times New Roman" w:hAnsi="Times New Roman"/>
                <w:sz w:val="24"/>
                <w:szCs w:val="24"/>
              </w:rPr>
              <w:t xml:space="preserve"> (gw405aa)</w:t>
            </w:r>
          </w:p>
        </w:tc>
        <w:tc>
          <w:tcPr>
            <w:tcW w:w="5943" w:type="dxa"/>
          </w:tcPr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Тип мыши: Проводная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Тип сенсора: Лазерный</w:t>
            </w:r>
          </w:p>
          <w:p w:rsidR="00F42D70" w:rsidRPr="000901C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Клавиатура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HP USB Standard Keyboard (DT528A)</w:t>
            </w:r>
          </w:p>
        </w:tc>
        <w:tc>
          <w:tcPr>
            <w:tcW w:w="5943" w:type="dxa"/>
          </w:tcPr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Тип интерфейса: </w:t>
            </w:r>
            <w:r w:rsidRPr="0070558C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Цифровой блок: Да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50">
              <w:rPr>
                <w:rFonts w:ascii="Times New Roman" w:hAnsi="Times New Roman"/>
                <w:sz w:val="24"/>
                <w:szCs w:val="24"/>
              </w:rPr>
              <w:t>Язык: Русский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78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116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Опечатывающее устройство «под нить» ГОСТ 16371-93 "чашка"</w:t>
            </w:r>
          </w:p>
        </w:tc>
        <w:tc>
          <w:tcPr>
            <w:tcW w:w="5943" w:type="dxa"/>
          </w:tcPr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Материал: Пластик 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Внешний диаметр 29 мм 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Внутренний диаметр 26 мм 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Диаметр крепежных отверстий 4 мм 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Высота 8 мм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Глубина 5 мм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Вес 3 г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56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Патч-корд UTP, категория 5e, 0,5м (PC-LPM-UTP-RJ45-RJ45-C5e-0,5M-GY)</w:t>
            </w:r>
          </w:p>
        </w:tc>
        <w:tc>
          <w:tcPr>
            <w:tcW w:w="5943" w:type="dxa"/>
          </w:tcPr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Кабель: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Проводник: 7 медных жил Ø0,20 мм, 24 AWG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Диаметр проводника в изоляции: 0,98 ± 0,05 мм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Количество пар: 4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Цвет витых пар: </w:t>
            </w:r>
            <w:proofErr w:type="gramStart"/>
            <w:r w:rsidRPr="0070558C">
              <w:rPr>
                <w:rFonts w:ascii="Times New Roman" w:hAnsi="Times New Roman"/>
                <w:sz w:val="24"/>
                <w:szCs w:val="24"/>
              </w:rPr>
              <w:t>синий-белый</w:t>
            </w:r>
            <w:proofErr w:type="gramEnd"/>
            <w:r w:rsidRPr="0070558C">
              <w:rPr>
                <w:rFonts w:ascii="Times New Roman" w:hAnsi="Times New Roman"/>
                <w:sz w:val="24"/>
                <w:szCs w:val="24"/>
              </w:rPr>
              <w:t>/синий, оранжевый-белый/оранжевый, зеленый-белый/зеленый, коричневый-белый/коричневый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Оболочка: ПВХ Ø5,5 ± 0,2 мм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Разъемы: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2 шт. RJ-45 8P8C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Ножи контакта: сплав меди с золотым напылением - 50µ:" (1,27 мкм)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Материал литых колпачков: поливинилхлорид (ПВХ)</w:t>
            </w:r>
          </w:p>
          <w:p w:rsidR="00F42D70" w:rsidRPr="000901C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118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Патч-корд UTP, категория 5e, 5м (PC-LPM-UTP-RJ45-RJ45-C5e-5M-GY)</w:t>
            </w:r>
          </w:p>
        </w:tc>
        <w:tc>
          <w:tcPr>
            <w:tcW w:w="5943" w:type="dxa"/>
          </w:tcPr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Кабель: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Проводник: 7 медных жил Ø0,20 мм, 24 AWG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Диаметр проводника в изоляции: 0,98 ± 0,05 мм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Количество пар: 4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Цвет витых пар: </w:t>
            </w:r>
            <w:proofErr w:type="gramStart"/>
            <w:r w:rsidRPr="0070558C">
              <w:rPr>
                <w:rFonts w:ascii="Times New Roman" w:hAnsi="Times New Roman"/>
                <w:sz w:val="24"/>
                <w:szCs w:val="24"/>
              </w:rPr>
              <w:t>синий-белый</w:t>
            </w:r>
            <w:proofErr w:type="gramEnd"/>
            <w:r w:rsidRPr="0070558C">
              <w:rPr>
                <w:rFonts w:ascii="Times New Roman" w:hAnsi="Times New Roman"/>
                <w:sz w:val="24"/>
                <w:szCs w:val="24"/>
              </w:rPr>
              <w:t>/синий, оранжевый-белый/оранжевый, зеленый-белый/зеленый, коричневый-белый/коричневый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Оболочка: ПВХ Ø5,5 ± 0,2 мм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Разъемы: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2 шт. RJ-45 8P8C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Ножи контакта: сплав меди с золотым напылением - 50µ:" (1,27 мкм)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Материал литых колпачков: поливинилхлорид (ПВХ)</w:t>
            </w:r>
          </w:p>
          <w:p w:rsidR="00F42D70" w:rsidRPr="000901C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Патч-корд UTP, категория 5e, 10м (PC-LPM-UTP-RJ45-RJ45-C5e-10M-GY)</w:t>
            </w:r>
          </w:p>
        </w:tc>
        <w:tc>
          <w:tcPr>
            <w:tcW w:w="5943" w:type="dxa"/>
          </w:tcPr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Кабель: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Проводник: 7 медных жил Ø0,20 мм, 24 AWG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Диаметр проводника в изоляции: 0,98 ± 0,05 мм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Количество пар: 4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 xml:space="preserve">Цвет витых пар: </w:t>
            </w:r>
            <w:proofErr w:type="gramStart"/>
            <w:r w:rsidRPr="0070558C">
              <w:rPr>
                <w:rFonts w:ascii="Times New Roman" w:hAnsi="Times New Roman"/>
                <w:sz w:val="24"/>
                <w:szCs w:val="24"/>
              </w:rPr>
              <w:t>синий-белый</w:t>
            </w:r>
            <w:proofErr w:type="gramEnd"/>
            <w:r w:rsidRPr="0070558C">
              <w:rPr>
                <w:rFonts w:ascii="Times New Roman" w:hAnsi="Times New Roman"/>
                <w:sz w:val="24"/>
                <w:szCs w:val="24"/>
              </w:rPr>
              <w:t>/синий, оранжевый-белый/оранжевый, зеленый-белый/зеленый, коричневый-белый/коричневый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Оболочка: ПВХ Ø5,5 ± 0,2 мм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Разъемы: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2 шт. RJ-45 8P8C</w:t>
            </w:r>
          </w:p>
          <w:p w:rsidR="00F42D70" w:rsidRPr="0070558C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Ножи контакта: сплав меди с золотым напылением - 50µ:" (1,27 мкм)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58C">
              <w:rPr>
                <w:rFonts w:ascii="Times New Roman" w:hAnsi="Times New Roman"/>
                <w:sz w:val="24"/>
                <w:szCs w:val="24"/>
              </w:rPr>
              <w:t>Материал литых колпачков: поливинилхлорид (ПВХ)</w:t>
            </w:r>
          </w:p>
          <w:p w:rsidR="00F42D70" w:rsidRPr="000901C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120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Патч-корд UTP, категория 5e, 15м (PC-LPM-UTP-RJ45-RJ45-C5e-15M-GY)</w:t>
            </w:r>
          </w:p>
        </w:tc>
        <w:tc>
          <w:tcPr>
            <w:tcW w:w="5943" w:type="dxa"/>
          </w:tcPr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Кабель: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Проводник: 7 медных жил Ø0,20 мм, 24 AWG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Диаметр проводника в изоляции: 0,98 ± 0,05 мм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Количество пар: 4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Цвет витых пар: </w:t>
            </w:r>
            <w:proofErr w:type="gramStart"/>
            <w:r w:rsidRPr="008D126B">
              <w:rPr>
                <w:rFonts w:ascii="Times New Roman" w:hAnsi="Times New Roman"/>
                <w:sz w:val="24"/>
                <w:szCs w:val="24"/>
              </w:rPr>
              <w:t>синий-белый</w:t>
            </w:r>
            <w:proofErr w:type="gramEnd"/>
            <w:r w:rsidRPr="008D126B">
              <w:rPr>
                <w:rFonts w:ascii="Times New Roman" w:hAnsi="Times New Roman"/>
                <w:sz w:val="24"/>
                <w:szCs w:val="24"/>
              </w:rPr>
              <w:t>/синий, оранжевый-белый/оранжевый, зеленый-белый/зеленый, коричневый-белый/коричневый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Оболочка: ПВХ Ø5,5 ± 0,2 мм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Разъемы: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2 шт. RJ-45 8P8C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Ножи контакта: сплав меди с золотым напылением - 50µ:" (1,27 мкм)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Материал литых колпачков: поливинилхлорид (ПВХ)</w:t>
            </w:r>
          </w:p>
          <w:p w:rsidR="00F42D70" w:rsidRPr="000901C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56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Видеокарта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PCI-E 2.0 ASUS EN210 SILENT/DI/1GD3/V2(LP), 1</w:t>
            </w:r>
            <w:r w:rsidRPr="005A7CEA">
              <w:rPr>
                <w:rFonts w:ascii="Times New Roman" w:hAnsi="Times New Roman"/>
                <w:sz w:val="24"/>
                <w:szCs w:val="24"/>
              </w:rPr>
              <w:t>Гб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>, DDR3, Low Profile, Ret (90-C1CP6Z-L0UANAYZ)</w:t>
            </w:r>
          </w:p>
        </w:tc>
        <w:tc>
          <w:tcPr>
            <w:tcW w:w="5943" w:type="dxa"/>
          </w:tcPr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Интерфейс: PCI-E 2.0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Видеочипсет: nVidia GeForce 210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Объем памяти  1024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MB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Охлаждение пассивное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Поддержка 2-х мониторов</w:t>
            </w:r>
            <w:proofErr w:type="gramStart"/>
            <w:r w:rsidRPr="008D126B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proofErr w:type="gramEnd"/>
            <w:r w:rsidRPr="008D126B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Разрядность интерфейса памяти  64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bit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Тип памяти: 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DDR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Частота графического процессора (МГц)  589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MHz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Частота памяти: 1200 МГц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Технология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NVIDIA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PureVideo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HD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 xml:space="preserve">  да</w:t>
            </w:r>
          </w:p>
          <w:p w:rsidR="00F42D70" w:rsidRPr="008344C5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Технология</w:t>
            </w:r>
            <w:r w:rsidRPr="008344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NVIDIA</w:t>
            </w:r>
            <w:r w:rsidRPr="008344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CUDA</w:t>
            </w:r>
            <w:r w:rsidRPr="008344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да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Microsoft DirectX  10.1</w:t>
            </w:r>
          </w:p>
          <w:p w:rsidR="00F42D70" w:rsidRPr="008344C5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OpenGL</w:t>
            </w:r>
            <w:r w:rsidRPr="008344C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3.3</w:t>
            </w:r>
          </w:p>
          <w:p w:rsidR="00F42D70" w:rsidRPr="008344C5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F6750">
              <w:rPr>
                <w:rFonts w:ascii="Times New Roman" w:hAnsi="Times New Roman"/>
                <w:sz w:val="24"/>
                <w:szCs w:val="24"/>
              </w:rPr>
              <w:t>Сертификация</w:t>
            </w:r>
            <w:r w:rsidRPr="008344C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Windows</w:t>
            </w:r>
            <w:r w:rsidRPr="008344C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7:  </w:t>
            </w:r>
            <w:r w:rsidRPr="005F6750">
              <w:rPr>
                <w:rFonts w:ascii="Times New Roman" w:hAnsi="Times New Roman"/>
                <w:sz w:val="24"/>
                <w:szCs w:val="24"/>
              </w:rPr>
              <w:t>да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Максимальное цифровое разрешение  2560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1600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Двухканальный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DVI</w:t>
            </w:r>
            <w:proofErr w:type="gramStart"/>
            <w:r w:rsidRPr="008D126B">
              <w:rPr>
                <w:rFonts w:ascii="Times New Roman" w:hAnsi="Times New Roman"/>
                <w:sz w:val="24"/>
                <w:szCs w:val="24"/>
              </w:rPr>
              <w:t xml:space="preserve">  Д</w:t>
            </w:r>
            <w:proofErr w:type="gramEnd"/>
            <w:r w:rsidRPr="008D126B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VGA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 xml:space="preserve">  Да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HDCP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 xml:space="preserve">  Да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HDMI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 xml:space="preserve">  Да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Минимальная рекомендованная мощность блока питания (</w:t>
            </w:r>
            <w:proofErr w:type="gramStart"/>
            <w:r w:rsidRPr="008D126B">
              <w:rPr>
                <w:rFonts w:ascii="Times New Roman" w:hAnsi="Times New Roman"/>
                <w:sz w:val="24"/>
                <w:szCs w:val="24"/>
              </w:rPr>
              <w:t>Вт</w:t>
            </w:r>
            <w:proofErr w:type="gramEnd"/>
            <w:r w:rsidRPr="008D126B">
              <w:rPr>
                <w:rFonts w:ascii="Times New Roman" w:hAnsi="Times New Roman"/>
                <w:sz w:val="24"/>
                <w:szCs w:val="24"/>
              </w:rPr>
              <w:t xml:space="preserve">)  300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122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Видеокарта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NVIDIA Quadro 410 512MB Graphics (A7U60AA)</w:t>
            </w:r>
          </w:p>
        </w:tc>
        <w:tc>
          <w:tcPr>
            <w:tcW w:w="5943" w:type="dxa"/>
          </w:tcPr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Интерфейс: PCI-E 2.0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Видеочипсет: nVidia Quadro 410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Объем видеопамяти: 512 Мб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Тип видеопамяти: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DDR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Разрядность шины видеопамяти: 64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bit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Максимальное разрешение: 3840 х 2160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Поддержка технологий: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DirectX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 xml:space="preserve"> 11/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OpenGL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 xml:space="preserve"> 4.2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Разъемы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DVI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: 1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Разъемов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Display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Port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: 1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Разъемы дополнительного питания: без дополнительного питания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Система охлаждения: </w:t>
            </w:r>
            <w:proofErr w:type="gramStart"/>
            <w:r w:rsidRPr="008D126B">
              <w:rPr>
                <w:rFonts w:ascii="Times New Roman" w:hAnsi="Times New Roman"/>
                <w:sz w:val="24"/>
                <w:szCs w:val="24"/>
              </w:rPr>
              <w:t>активное</w:t>
            </w:r>
            <w:proofErr w:type="gramEnd"/>
            <w:r w:rsidRPr="008D126B">
              <w:rPr>
                <w:rFonts w:ascii="Times New Roman" w:hAnsi="Times New Roman"/>
                <w:sz w:val="24"/>
                <w:szCs w:val="24"/>
              </w:rPr>
              <w:t xml:space="preserve"> (радиатор и один вентилятор)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50">
              <w:rPr>
                <w:rFonts w:ascii="Times New Roman" w:hAnsi="Times New Roman"/>
                <w:sz w:val="24"/>
                <w:szCs w:val="24"/>
              </w:rPr>
              <w:t>Ширина видеокарты: однослотовая система охлаждения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750">
              <w:rPr>
                <w:rFonts w:ascii="Times New Roman" w:hAnsi="Times New Roman"/>
                <w:sz w:val="24"/>
                <w:szCs w:val="24"/>
              </w:rPr>
              <w:t>Низкопрофильная видеокарта: да</w:t>
            </w:r>
          </w:p>
          <w:p w:rsidR="00F42D70" w:rsidRPr="000901C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</w:t>
            </w:r>
            <w:r>
              <w:rPr>
                <w:rFonts w:ascii="Times New Roman" w:hAnsi="Times New Roman"/>
                <w:sz w:val="24"/>
                <w:szCs w:val="24"/>
              </w:rPr>
              <w:t>ложение аналога не допускается*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Кабель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Apple 30-pin to USB (MA591G/B)</w:t>
            </w:r>
          </w:p>
        </w:tc>
        <w:tc>
          <w:tcPr>
            <w:tcW w:w="5943" w:type="dxa"/>
          </w:tcPr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Тип кабеля: Apple connector - USB тип А 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Интерфейс связи с ПК: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 xml:space="preserve"> 2.0 </w:t>
            </w:r>
          </w:p>
          <w:p w:rsidR="00F42D70" w:rsidRPr="000901C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01C4">
              <w:rPr>
                <w:rFonts w:ascii="Times New Roman" w:hAnsi="Times New Roman"/>
                <w:sz w:val="24"/>
                <w:szCs w:val="24"/>
              </w:rPr>
              <w:t xml:space="preserve">Длина: 1 м </w:t>
            </w:r>
          </w:p>
          <w:p w:rsidR="00F42D70" w:rsidRPr="000901C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01C4">
              <w:rPr>
                <w:rFonts w:ascii="Times New Roman" w:hAnsi="Times New Roman"/>
                <w:sz w:val="24"/>
                <w:szCs w:val="24"/>
              </w:rPr>
              <w:t>Цвет: Белый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</w:t>
            </w:r>
            <w:r>
              <w:rPr>
                <w:rFonts w:ascii="Times New Roman" w:hAnsi="Times New Roman"/>
                <w:sz w:val="24"/>
                <w:szCs w:val="24"/>
              </w:rPr>
              <w:t>ложение аналога не допускается*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Кабель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Lightning to USB (MD818ZM)</w:t>
            </w:r>
          </w:p>
        </w:tc>
        <w:tc>
          <w:tcPr>
            <w:tcW w:w="5943" w:type="dxa"/>
          </w:tcPr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Тип кабеля: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Lighting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 xml:space="preserve"> 2.0 тип А 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Интерфейс связи с ПК: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 xml:space="preserve"> 2.0 </w:t>
            </w:r>
          </w:p>
          <w:p w:rsidR="00F42D70" w:rsidRPr="000901C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01C4">
              <w:rPr>
                <w:rFonts w:ascii="Times New Roman" w:hAnsi="Times New Roman"/>
                <w:sz w:val="24"/>
                <w:szCs w:val="24"/>
              </w:rPr>
              <w:t xml:space="preserve">Длина: 1,2 м </w:t>
            </w:r>
          </w:p>
          <w:p w:rsidR="00F42D70" w:rsidRPr="000901C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01C4">
              <w:rPr>
                <w:rFonts w:ascii="Times New Roman" w:hAnsi="Times New Roman"/>
                <w:sz w:val="24"/>
                <w:szCs w:val="24"/>
              </w:rPr>
              <w:t>Цвет: Белый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</w:t>
            </w:r>
            <w:r>
              <w:rPr>
                <w:rFonts w:ascii="Times New Roman" w:hAnsi="Times New Roman"/>
                <w:sz w:val="24"/>
                <w:szCs w:val="24"/>
              </w:rPr>
              <w:t>ложение аналога не допускается*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Адаптер питания Apple 12W USB (MD836ZM/A)</w:t>
            </w:r>
          </w:p>
        </w:tc>
        <w:tc>
          <w:tcPr>
            <w:tcW w:w="5943" w:type="dxa"/>
          </w:tcPr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Тип оборудования: Блок питания  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Входное напряжение: 100 - 240</w:t>
            </w:r>
            <w:proofErr w:type="gramStart"/>
            <w:r w:rsidRPr="008D126B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8D126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Частота: 50 - 60 Гц  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Мощность: 12 Вт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Выходное напряжение: 5.2</w:t>
            </w:r>
            <w:proofErr w:type="gramStart"/>
            <w:r w:rsidRPr="008D126B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8D126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Порт: USB 2.0 тип A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Цвет: Белый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</w:t>
            </w:r>
            <w:r>
              <w:rPr>
                <w:rFonts w:ascii="Times New Roman" w:hAnsi="Times New Roman"/>
                <w:sz w:val="24"/>
                <w:szCs w:val="24"/>
              </w:rPr>
              <w:t>ложение аналога не допускается*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56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126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Комплект для поддержки лицевой панели HP (10 уп.) 600/800 TWR (E1C66AA)</w:t>
            </w:r>
          </w:p>
        </w:tc>
        <w:tc>
          <w:tcPr>
            <w:tcW w:w="5943" w:type="dxa"/>
          </w:tcPr>
          <w:p w:rsidR="00F42D7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езопасная установка неоригинального оптического диска в блок ПК с помощью комплекта HP (10 наборов) 600/800TWR Bezel Support Kit.</w:t>
            </w:r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</w:t>
            </w:r>
            <w:r>
              <w:rPr>
                <w:rFonts w:ascii="Times New Roman" w:hAnsi="Times New Roman"/>
                <w:sz w:val="24"/>
                <w:szCs w:val="24"/>
              </w:rPr>
              <w:t>ложение аналога не допускается*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F6750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Картридж</w:t>
            </w:r>
            <w:r w:rsidRPr="005F675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для</w:t>
            </w:r>
            <w:r w:rsidRPr="005F675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термопринтера</w:t>
            </w:r>
            <w:r w:rsidRPr="005F675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Brady BMP21</w:t>
            </w:r>
          </w:p>
          <w:p w:rsidR="00F42D70" w:rsidRPr="005F6750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42D70" w:rsidRPr="00EF3984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Black on White Nylon Cloth 3/4”</w:t>
            </w:r>
          </w:p>
          <w:p w:rsidR="00F42D70" w:rsidRPr="00EF3984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(M21-750-499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  <w:p w:rsidR="00F42D70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42D70" w:rsidRPr="00EF3984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943" w:type="dxa"/>
          </w:tcPr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Длина 4.87 m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Ширина 19.05 мм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Цвет: черный на белом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Нейлоновая ткань (B-499)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Отличная адгезия к любым видам поверхностей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Область применения: Маркировка кабеля и провода, патч-панелей, терминальных блоков, лицевых панелей провода, общая идентификация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 xml:space="preserve">Применяется в условиях агрессивных сред 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Этикетки прочно держатся на любой поверхности: гладкой, изогнутой, текстурированной и высокотекстурированной даже при экстремальных температурах</w:t>
            </w:r>
          </w:p>
          <w:p w:rsidR="00F42D7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Совместимость: ручные принтеры маркираторы BMP21</w:t>
            </w:r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</w:t>
            </w:r>
            <w:r>
              <w:rPr>
                <w:rFonts w:ascii="Times New Roman" w:hAnsi="Times New Roman"/>
                <w:sz w:val="24"/>
                <w:szCs w:val="24"/>
              </w:rPr>
              <w:t>ложение аналога не допускается*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128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F6750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Картридж для термопринтера Brady BMP21</w:t>
            </w:r>
          </w:p>
          <w:p w:rsidR="00F42D70" w:rsidRPr="005F6750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42D70" w:rsidRPr="005F6750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Black</w:t>
            </w:r>
            <w:r w:rsidRPr="005F67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on</w:t>
            </w:r>
            <w:r w:rsidRPr="005F67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White</w:t>
            </w:r>
            <w:r w:rsidRPr="005F67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Vinyl</w:t>
            </w:r>
            <w:r w:rsidRPr="005F67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3/8”</w:t>
            </w:r>
          </w:p>
          <w:p w:rsidR="00F42D70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(</w:t>
            </w:r>
            <w:r w:rsidRPr="00EF398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M21-375-595-WT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)</w:t>
            </w:r>
          </w:p>
          <w:p w:rsidR="00F42D70" w:rsidRPr="00EF3984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943" w:type="dxa"/>
          </w:tcPr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Длина</w:t>
            </w:r>
            <w:r w:rsidRPr="005F6750">
              <w:rPr>
                <w:rFonts w:ascii="Times New Roman" w:hAnsi="Times New Roman"/>
                <w:sz w:val="24"/>
                <w:szCs w:val="24"/>
              </w:rPr>
              <w:t>:</w:t>
            </w:r>
            <w:r w:rsidRPr="00EF3984">
              <w:rPr>
                <w:rFonts w:ascii="Times New Roman" w:hAnsi="Times New Roman"/>
                <w:sz w:val="24"/>
                <w:szCs w:val="24"/>
              </w:rPr>
              <w:t xml:space="preserve"> 6.4 м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Ширина</w:t>
            </w:r>
            <w:r w:rsidRPr="005F6750">
              <w:rPr>
                <w:rFonts w:ascii="Times New Roman" w:hAnsi="Times New Roman"/>
                <w:sz w:val="24"/>
                <w:szCs w:val="24"/>
              </w:rPr>
              <w:t>:</w:t>
            </w:r>
            <w:r w:rsidRPr="00EF3984">
              <w:rPr>
                <w:rFonts w:ascii="Times New Roman" w:hAnsi="Times New Roman"/>
                <w:sz w:val="24"/>
                <w:szCs w:val="24"/>
              </w:rPr>
              <w:t xml:space="preserve"> 9.53 мм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Цвет: черный на белом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Универсальный винил (</w:t>
            </w:r>
            <w:r w:rsidRPr="00EF3984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EF3984">
              <w:rPr>
                <w:rFonts w:ascii="Times New Roman" w:hAnsi="Times New Roman"/>
                <w:sz w:val="24"/>
                <w:szCs w:val="24"/>
              </w:rPr>
              <w:t>-595)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Новая формула винила, улучшенная для эксплуатации в самых агрессивных условиях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Противостоит воздействию грязи и масла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5 лет гарантированной надежности при наружном применении и температуре от -40°</w:t>
            </w:r>
            <w:r w:rsidRPr="00EF3984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EF3984">
              <w:rPr>
                <w:rFonts w:ascii="Times New Roman" w:hAnsi="Times New Roman"/>
                <w:sz w:val="24"/>
                <w:szCs w:val="24"/>
              </w:rPr>
              <w:t xml:space="preserve"> до 82°</w:t>
            </w:r>
            <w:r w:rsidRPr="00EF3984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F3984">
              <w:rPr>
                <w:rFonts w:ascii="Times New Roman" w:hAnsi="Times New Roman"/>
                <w:sz w:val="24"/>
                <w:szCs w:val="24"/>
              </w:rPr>
              <w:t>Область применения: для внутреннего и наружного включая все виды знаков безопасности и обозначения рабочего места, маркировка трубопроводов, инструмента, контейнеров, шкафов, компонентов, стеллажей, панелей, различного рода оборудования с грубой, текстурированной и изогнутой поверхностями</w:t>
            </w:r>
            <w:proofErr w:type="gramEnd"/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Этикетки прочно держатся на неровной, изогнутой или круглой поверхности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Желательное наклеивание на сухую поверхность предварительно очищенную от грязи и пыли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>Срок эксплуатации готовой маркировки 8-10 лет с момента наклеивания</w:t>
            </w:r>
          </w:p>
          <w:p w:rsidR="00F42D7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3984">
              <w:rPr>
                <w:rFonts w:ascii="Times New Roman" w:hAnsi="Times New Roman"/>
                <w:sz w:val="24"/>
                <w:szCs w:val="24"/>
              </w:rPr>
              <w:t xml:space="preserve">Совместимость: ручные принтеры маркираторы </w:t>
            </w:r>
            <w:r w:rsidRPr="00EF3984">
              <w:rPr>
                <w:rFonts w:ascii="Times New Roman" w:hAnsi="Times New Roman"/>
                <w:sz w:val="24"/>
                <w:szCs w:val="24"/>
                <w:lang w:val="en-US"/>
              </w:rPr>
              <w:t>BMP</w:t>
            </w:r>
            <w:r w:rsidRPr="00EF3984"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F42D70" w:rsidRPr="00EF398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</w:t>
            </w:r>
            <w:r>
              <w:rPr>
                <w:rFonts w:ascii="Times New Roman" w:hAnsi="Times New Roman"/>
                <w:sz w:val="24"/>
                <w:szCs w:val="24"/>
              </w:rPr>
              <w:t>ложение аналога не допускается*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129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Розеточный блок HP H5M68A (H5M68A)</w:t>
            </w:r>
          </w:p>
        </w:tc>
        <w:tc>
          <w:tcPr>
            <w:tcW w:w="5943" w:type="dxa"/>
          </w:tcPr>
          <w:p w:rsidR="00F42D70" w:rsidRPr="00F44B37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B37">
              <w:rPr>
                <w:rFonts w:ascii="Times New Roman" w:hAnsi="Times New Roman"/>
                <w:sz w:val="24"/>
                <w:szCs w:val="24"/>
              </w:rPr>
              <w:t xml:space="preserve">Распределительное устройство электропитания </w:t>
            </w:r>
          </w:p>
          <w:p w:rsidR="00F42D70" w:rsidRPr="00F44B37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B37">
              <w:rPr>
                <w:rFonts w:ascii="Times New Roman" w:hAnsi="Times New Roman"/>
                <w:sz w:val="24"/>
                <w:szCs w:val="24"/>
              </w:rPr>
              <w:t>Максимальный ток        32</w:t>
            </w:r>
            <w:proofErr w:type="gramStart"/>
            <w:r w:rsidRPr="00F44B37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F44B37">
              <w:rPr>
                <w:rFonts w:ascii="Times New Roman" w:hAnsi="Times New Roman"/>
                <w:sz w:val="24"/>
                <w:szCs w:val="24"/>
              </w:rPr>
              <w:t>, 220-240 В, однофазный</w:t>
            </w:r>
          </w:p>
          <w:p w:rsidR="00F42D70" w:rsidRPr="00F44B37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B37">
              <w:rPr>
                <w:rFonts w:ascii="Times New Roman" w:hAnsi="Times New Roman"/>
                <w:sz w:val="24"/>
                <w:szCs w:val="24"/>
              </w:rPr>
              <w:t xml:space="preserve">Электрическое соединение на входе </w:t>
            </w:r>
          </w:p>
          <w:p w:rsidR="00F42D70" w:rsidRPr="00F44B37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B37">
              <w:rPr>
                <w:rFonts w:ascii="Times New Roman" w:hAnsi="Times New Roman"/>
                <w:sz w:val="24"/>
                <w:szCs w:val="24"/>
              </w:rPr>
              <w:t xml:space="preserve">Шнур длиной 2.4 м с вилкой IEC 60309 332P6  </w:t>
            </w:r>
          </w:p>
          <w:p w:rsidR="00F42D70" w:rsidRPr="00F44B37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B37">
              <w:rPr>
                <w:rFonts w:ascii="Times New Roman" w:hAnsi="Times New Roman"/>
                <w:sz w:val="24"/>
                <w:szCs w:val="24"/>
              </w:rPr>
              <w:t xml:space="preserve">Защита от перегрузки: 2 </w:t>
            </w:r>
            <w:proofErr w:type="gramStart"/>
            <w:r w:rsidRPr="00F44B37">
              <w:rPr>
                <w:rFonts w:ascii="Times New Roman" w:hAnsi="Times New Roman"/>
                <w:sz w:val="24"/>
                <w:szCs w:val="24"/>
              </w:rPr>
              <w:t>автоматических</w:t>
            </w:r>
            <w:proofErr w:type="gramEnd"/>
            <w:r w:rsidRPr="00F44B37">
              <w:rPr>
                <w:rFonts w:ascii="Times New Roman" w:hAnsi="Times New Roman"/>
                <w:sz w:val="24"/>
                <w:szCs w:val="24"/>
              </w:rPr>
              <w:t xml:space="preserve"> выключателя на 16А</w:t>
            </w:r>
          </w:p>
          <w:p w:rsidR="00F42D70" w:rsidRPr="00F44B37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B37">
              <w:rPr>
                <w:rFonts w:ascii="Times New Roman" w:hAnsi="Times New Roman"/>
                <w:sz w:val="24"/>
                <w:szCs w:val="24"/>
              </w:rPr>
              <w:t xml:space="preserve"> Электрические разъёмы на выходе 20 шт. IEC 60320 C13 </w:t>
            </w:r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B37">
              <w:rPr>
                <w:rFonts w:ascii="Times New Roman" w:hAnsi="Times New Roman"/>
                <w:sz w:val="24"/>
                <w:szCs w:val="24"/>
              </w:rPr>
              <w:t>Крепление в 19” шкаф  и стяжки в комплекте.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130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Распределитель питания HP 1Phase 7.3kVa 32A 6xC19 (AF525A)</w:t>
            </w:r>
          </w:p>
        </w:tc>
        <w:tc>
          <w:tcPr>
            <w:tcW w:w="5943" w:type="dxa"/>
          </w:tcPr>
          <w:p w:rsidR="00F42D70" w:rsidRPr="00F44B37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B37">
              <w:rPr>
                <w:rFonts w:ascii="Times New Roman" w:hAnsi="Times New Roman"/>
                <w:sz w:val="24"/>
                <w:szCs w:val="24"/>
              </w:rPr>
              <w:t xml:space="preserve">Распределительное устройство электропитания </w:t>
            </w:r>
          </w:p>
          <w:p w:rsidR="00F42D70" w:rsidRPr="00F44B37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B37">
              <w:rPr>
                <w:rFonts w:ascii="Times New Roman" w:hAnsi="Times New Roman"/>
                <w:sz w:val="24"/>
                <w:szCs w:val="24"/>
              </w:rPr>
              <w:t>Максимальный ток        32</w:t>
            </w:r>
            <w:proofErr w:type="gramStart"/>
            <w:r w:rsidRPr="00F44B37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F44B37">
              <w:rPr>
                <w:rFonts w:ascii="Times New Roman" w:hAnsi="Times New Roman"/>
                <w:sz w:val="24"/>
                <w:szCs w:val="24"/>
              </w:rPr>
              <w:t>, 220-240 В, однофазный</w:t>
            </w:r>
          </w:p>
          <w:p w:rsidR="00F42D70" w:rsidRPr="00F44B37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B37">
              <w:rPr>
                <w:rFonts w:ascii="Times New Roman" w:hAnsi="Times New Roman"/>
                <w:sz w:val="24"/>
                <w:szCs w:val="24"/>
              </w:rPr>
              <w:t xml:space="preserve">Электрическое соединение на входе: </w:t>
            </w:r>
          </w:p>
          <w:p w:rsidR="00F42D70" w:rsidRPr="00F44B37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B37">
              <w:rPr>
                <w:rFonts w:ascii="Times New Roman" w:hAnsi="Times New Roman"/>
                <w:sz w:val="24"/>
                <w:szCs w:val="24"/>
              </w:rPr>
              <w:t xml:space="preserve">Шнур длиной 3.6 м с вилкой IEC 60309-32A  </w:t>
            </w:r>
          </w:p>
          <w:p w:rsidR="00F42D70" w:rsidRPr="00F44B37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B37">
              <w:rPr>
                <w:rFonts w:ascii="Times New Roman" w:hAnsi="Times New Roman"/>
                <w:sz w:val="24"/>
                <w:szCs w:val="24"/>
              </w:rPr>
              <w:t xml:space="preserve">Защита от перегрузки: 2 </w:t>
            </w:r>
            <w:proofErr w:type="gramStart"/>
            <w:r w:rsidRPr="00F44B37">
              <w:rPr>
                <w:rFonts w:ascii="Times New Roman" w:hAnsi="Times New Roman"/>
                <w:sz w:val="24"/>
                <w:szCs w:val="24"/>
              </w:rPr>
              <w:t>автоматических</w:t>
            </w:r>
            <w:proofErr w:type="gramEnd"/>
            <w:r w:rsidRPr="00F44B37">
              <w:rPr>
                <w:rFonts w:ascii="Times New Roman" w:hAnsi="Times New Roman"/>
                <w:sz w:val="24"/>
                <w:szCs w:val="24"/>
              </w:rPr>
              <w:t xml:space="preserve"> выключателя на 16А</w:t>
            </w:r>
          </w:p>
          <w:p w:rsidR="00F42D70" w:rsidRPr="00F44B37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B37">
              <w:rPr>
                <w:rFonts w:ascii="Times New Roman" w:hAnsi="Times New Roman"/>
                <w:sz w:val="24"/>
                <w:szCs w:val="24"/>
              </w:rPr>
              <w:t xml:space="preserve"> Электрические разъёмы на выходе  6 шт. IEC 320 C-19 </w:t>
            </w:r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B37">
              <w:rPr>
                <w:rFonts w:ascii="Times New Roman" w:hAnsi="Times New Roman"/>
                <w:sz w:val="24"/>
                <w:szCs w:val="24"/>
              </w:rPr>
              <w:t>Крепление в 19” шкаф  и стяжки в комплекте.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56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Кабель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электрический</w:t>
            </w:r>
            <w:r w:rsidRPr="005A7CE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HP C13 - C14 WW 250V 10A Gray 0.7m Jumper Cord (A0K03A)</w:t>
            </w:r>
          </w:p>
        </w:tc>
        <w:tc>
          <w:tcPr>
            <w:tcW w:w="5943" w:type="dxa"/>
          </w:tcPr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Длина шнура: 0,7 м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 xml:space="preserve">Тип соединения: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14, С13</w:t>
            </w:r>
          </w:p>
          <w:p w:rsidR="00F42D70" w:rsidRPr="000901C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01C4">
              <w:rPr>
                <w:rFonts w:ascii="Times New Roman" w:hAnsi="Times New Roman"/>
                <w:sz w:val="24"/>
                <w:szCs w:val="24"/>
              </w:rPr>
              <w:t>Ток: 10А</w:t>
            </w:r>
          </w:p>
          <w:p w:rsidR="00F42D7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01C4">
              <w:rPr>
                <w:rFonts w:ascii="Times New Roman" w:hAnsi="Times New Roman"/>
                <w:sz w:val="24"/>
                <w:szCs w:val="24"/>
              </w:rPr>
              <w:t>Цвет: Серы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</w:p>
          <w:p w:rsidR="00F42D70" w:rsidRPr="000901C4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Кабель электрический APC С13 - С14, 0.61 м черный (уп./5 шт.) (AP9890)</w:t>
            </w:r>
          </w:p>
        </w:tc>
        <w:tc>
          <w:tcPr>
            <w:tcW w:w="5943" w:type="dxa"/>
          </w:tcPr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Длина шнура: 0,61 м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Тип соединения: C14, С13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Ток: 10А</w:t>
            </w:r>
          </w:p>
          <w:p w:rsidR="00F42D7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Цвет: Черный</w:t>
            </w:r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Уп.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9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Накопитель</w:t>
            </w:r>
            <w:r w:rsidRPr="005A7C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USB Transcend JetFlash 770 32Gb  (TS32GJF770)</w:t>
            </w:r>
          </w:p>
        </w:tc>
        <w:tc>
          <w:tcPr>
            <w:tcW w:w="5943" w:type="dxa"/>
          </w:tcPr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0A86">
              <w:rPr>
                <w:rFonts w:ascii="Times New Roman" w:hAnsi="Times New Roman"/>
                <w:sz w:val="24"/>
                <w:szCs w:val="24"/>
              </w:rPr>
              <w:t>Интерфейс</w:t>
            </w:r>
            <w:r w:rsidRPr="005F675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r w:rsidRPr="005F675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3.0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0A86">
              <w:rPr>
                <w:rFonts w:ascii="Times New Roman" w:hAnsi="Times New Roman"/>
                <w:sz w:val="24"/>
                <w:szCs w:val="24"/>
              </w:rPr>
              <w:t>Объем</w:t>
            </w:r>
            <w:r w:rsidRPr="005F675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D0A86">
              <w:rPr>
                <w:rFonts w:ascii="Times New Roman" w:hAnsi="Times New Roman"/>
                <w:sz w:val="24"/>
                <w:szCs w:val="24"/>
              </w:rPr>
              <w:t>памяти</w:t>
            </w:r>
            <w:r w:rsidRPr="005F675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32 </w:t>
            </w:r>
            <w:r w:rsidRPr="003D0A86">
              <w:rPr>
                <w:rFonts w:ascii="Times New Roman" w:hAnsi="Times New Roman"/>
                <w:sz w:val="24"/>
                <w:szCs w:val="24"/>
              </w:rPr>
              <w:t>Гб</w:t>
            </w:r>
          </w:p>
          <w:p w:rsidR="00F42D70" w:rsidRPr="005F675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D126B">
              <w:rPr>
                <w:rFonts w:ascii="Times New Roman" w:hAnsi="Times New Roman"/>
                <w:sz w:val="24"/>
                <w:szCs w:val="24"/>
                <w:lang w:val="en-US"/>
              </w:rPr>
              <w:t>ReadyBoost</w:t>
            </w:r>
            <w:r w:rsidRPr="005F675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r w:rsidRPr="003D0A86"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Защита паролем</w:t>
            </w:r>
            <w:r w:rsidRPr="003D0A8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Аппаратное шифрование данных</w:t>
            </w:r>
            <w:r w:rsidRPr="003D0A8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Сжатие данных</w:t>
            </w:r>
            <w:r w:rsidRPr="003D0A8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Резервное копирование данных</w:t>
            </w:r>
            <w:r w:rsidRPr="003D0A8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Выдвижной разъем</w:t>
            </w:r>
            <w:r w:rsidRPr="003D0A8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есть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Индикатор передачи данных</w:t>
            </w:r>
            <w:r w:rsidRPr="003D0A8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Защита от перезаписи</w:t>
            </w:r>
            <w:r w:rsidRPr="003D0A8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F42D70" w:rsidRPr="008D126B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26B">
              <w:rPr>
                <w:rFonts w:ascii="Times New Roman" w:hAnsi="Times New Roman"/>
                <w:sz w:val="24"/>
                <w:szCs w:val="24"/>
              </w:rPr>
              <w:t>Водонепроницаемый корпус</w:t>
            </w:r>
            <w:r w:rsidRPr="003D0A8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D126B"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F42D70" w:rsidRPr="003D0A86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0A86">
              <w:rPr>
                <w:rFonts w:ascii="Times New Roman" w:hAnsi="Times New Roman"/>
                <w:sz w:val="24"/>
                <w:szCs w:val="24"/>
              </w:rPr>
              <w:t>Ширина: 21 мм</w:t>
            </w:r>
          </w:p>
          <w:p w:rsidR="00F42D70" w:rsidRPr="003D0A86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0A86">
              <w:rPr>
                <w:rFonts w:ascii="Times New Roman" w:hAnsi="Times New Roman"/>
                <w:sz w:val="24"/>
                <w:szCs w:val="24"/>
              </w:rPr>
              <w:t>Длина</w:t>
            </w:r>
            <w:r w:rsidRPr="005F6750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3D0A86">
              <w:rPr>
                <w:rFonts w:ascii="Times New Roman" w:hAnsi="Times New Roman"/>
                <w:sz w:val="24"/>
                <w:szCs w:val="24"/>
              </w:rPr>
              <w:t>70 мм</w:t>
            </w:r>
          </w:p>
          <w:p w:rsidR="00F42D7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0A86">
              <w:rPr>
                <w:rFonts w:ascii="Times New Roman" w:hAnsi="Times New Roman"/>
                <w:sz w:val="24"/>
                <w:szCs w:val="24"/>
              </w:rPr>
              <w:t>Толщина</w:t>
            </w:r>
            <w:r w:rsidRPr="005F6750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3D0A86">
              <w:rPr>
                <w:rFonts w:ascii="Times New Roman" w:hAnsi="Times New Roman"/>
                <w:sz w:val="24"/>
                <w:szCs w:val="24"/>
              </w:rPr>
              <w:t>9 мм</w:t>
            </w:r>
          </w:p>
          <w:p w:rsidR="00F42D70" w:rsidRPr="003D0A86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42D70" w:rsidRPr="005A7CEA" w:rsidTr="00F42D7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Салфетки х/б 40*40 светлые, без швов</w:t>
            </w:r>
          </w:p>
        </w:tc>
        <w:tc>
          <w:tcPr>
            <w:tcW w:w="5943" w:type="dxa"/>
          </w:tcPr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F42D70" w:rsidRPr="005A7CEA" w:rsidTr="00F42D70">
        <w:trPr>
          <w:cantSplit/>
          <w:trHeight w:val="636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8344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135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Коврик для мыши Nova Microoptic+ Elegance, серебро 220х172х1, 4000DPI</w:t>
            </w:r>
          </w:p>
        </w:tc>
        <w:tc>
          <w:tcPr>
            <w:tcW w:w="5943" w:type="dxa"/>
          </w:tcPr>
          <w:p w:rsidR="00F42D70" w:rsidRPr="003D0A86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0A86">
              <w:rPr>
                <w:rFonts w:ascii="Times New Roman" w:hAnsi="Times New Roman"/>
                <w:sz w:val="24"/>
                <w:szCs w:val="24"/>
              </w:rPr>
              <w:t>Коврик для мыши на нескользящей основе с поверхностью Microptic+</w:t>
            </w:r>
          </w:p>
          <w:p w:rsidR="00F42D70" w:rsidRPr="003D0A86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0A86">
              <w:rPr>
                <w:rFonts w:ascii="Times New Roman" w:hAnsi="Times New Roman"/>
                <w:sz w:val="24"/>
                <w:szCs w:val="24"/>
              </w:rPr>
              <w:t>Цвет: Серебристый</w:t>
            </w:r>
          </w:p>
          <w:p w:rsidR="00F42D70" w:rsidRPr="003D0A86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0A86">
              <w:rPr>
                <w:rFonts w:ascii="Times New Roman" w:hAnsi="Times New Roman"/>
                <w:sz w:val="24"/>
                <w:szCs w:val="24"/>
              </w:rPr>
              <w:t>Совместимость: Оптические и лазерные мыши</w:t>
            </w:r>
          </w:p>
          <w:p w:rsidR="00F42D70" w:rsidRPr="003D0A86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0A86">
              <w:rPr>
                <w:rFonts w:ascii="Times New Roman" w:hAnsi="Times New Roman"/>
                <w:sz w:val="24"/>
                <w:szCs w:val="24"/>
              </w:rPr>
              <w:t>Размеры внешние 230 x 195 x 1 мм</w:t>
            </w:r>
          </w:p>
          <w:p w:rsidR="00F42D70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0A86">
              <w:rPr>
                <w:rFonts w:ascii="Times New Roman" w:hAnsi="Times New Roman"/>
                <w:sz w:val="24"/>
                <w:szCs w:val="24"/>
              </w:rPr>
              <w:t>Разрешение до 4000 dpi</w:t>
            </w:r>
          </w:p>
          <w:p w:rsidR="00F42D70" w:rsidRPr="005A7CEA" w:rsidRDefault="00F42D70" w:rsidP="0083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Предложение аналога не допускается**</w:t>
            </w:r>
          </w:p>
        </w:tc>
        <w:tc>
          <w:tcPr>
            <w:tcW w:w="828" w:type="dxa"/>
            <w:shd w:val="clear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A7C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F42D70" w:rsidRPr="005A7CEA" w:rsidRDefault="00F42D70" w:rsidP="00746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</w:tbl>
    <w:p w:rsidR="008344C5" w:rsidRDefault="008344C5" w:rsidP="008344C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A706B">
        <w:rPr>
          <w:rFonts w:ascii="Times New Roman" w:hAnsi="Times New Roman"/>
          <w:sz w:val="28"/>
          <w:szCs w:val="28"/>
          <w:vertAlign w:val="superscript"/>
        </w:rPr>
        <w:t xml:space="preserve">* </w:t>
      </w:r>
      <w:r w:rsidRPr="002A706B">
        <w:rPr>
          <w:rFonts w:ascii="Times New Roman" w:hAnsi="Times New Roman"/>
          <w:sz w:val="28"/>
          <w:szCs w:val="28"/>
        </w:rPr>
        <w:t>Предложение аналога не допускается – выполняется закупка запасных частей или расходных материалов для оборудования, находящегося на гарантии, использование именно таких запасных частей или расходных материалов предусмотрено условиями гарантии, технической эксплуатационной документацией</w:t>
      </w:r>
      <w:r>
        <w:rPr>
          <w:rFonts w:ascii="Times New Roman" w:hAnsi="Times New Roman"/>
          <w:sz w:val="28"/>
          <w:szCs w:val="28"/>
        </w:rPr>
        <w:t xml:space="preserve"> (п.12.2.2а ЕОСЗ)</w:t>
      </w:r>
      <w:r w:rsidRPr="002A706B">
        <w:rPr>
          <w:rFonts w:ascii="Times New Roman" w:hAnsi="Times New Roman"/>
          <w:sz w:val="28"/>
          <w:szCs w:val="28"/>
        </w:rPr>
        <w:t>.</w:t>
      </w:r>
    </w:p>
    <w:p w:rsidR="008344C5" w:rsidRPr="0098409F" w:rsidRDefault="008344C5" w:rsidP="008344C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8409F">
        <w:rPr>
          <w:rFonts w:ascii="Times New Roman" w:hAnsi="Times New Roman"/>
          <w:sz w:val="28"/>
          <w:szCs w:val="28"/>
          <w:vertAlign w:val="superscript"/>
        </w:rPr>
        <w:t xml:space="preserve">** </w:t>
      </w:r>
      <w:r w:rsidRPr="0098409F">
        <w:rPr>
          <w:rFonts w:ascii="Times New Roman" w:hAnsi="Times New Roman"/>
          <w:sz w:val="28"/>
          <w:szCs w:val="28"/>
        </w:rPr>
        <w:t>Предложение аналога не допускается –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 (п.12.2.2б ЕОСЗ).</w:t>
      </w:r>
    </w:p>
    <w:p w:rsidR="008344C5" w:rsidRPr="0098409F" w:rsidRDefault="008344C5" w:rsidP="008344C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8409F">
        <w:rPr>
          <w:rFonts w:ascii="Times New Roman" w:hAnsi="Times New Roman"/>
          <w:sz w:val="28"/>
          <w:szCs w:val="28"/>
          <w:vertAlign w:val="superscript"/>
        </w:rPr>
        <w:t xml:space="preserve">*** </w:t>
      </w:r>
      <w:r w:rsidRPr="0098409F">
        <w:rPr>
          <w:rFonts w:ascii="Times New Roman" w:hAnsi="Times New Roman"/>
          <w:sz w:val="28"/>
          <w:szCs w:val="28"/>
        </w:rPr>
        <w:t>Предложение аналога не допускается – стандартизация (унификация) закупаемых в отрасли товаров, работ, услуг, определенных распорядительными документами Корпорации (п.12.2.2в ЕОСЗ).</w:t>
      </w:r>
    </w:p>
    <w:p w:rsidR="008344C5" w:rsidRPr="003560FE" w:rsidRDefault="008344C5" w:rsidP="008344C5">
      <w:pPr>
        <w:pStyle w:val="Times12"/>
        <w:overflowPunct/>
        <w:autoSpaceDE/>
        <w:ind w:firstLine="360"/>
        <w:rPr>
          <w:b/>
          <w:sz w:val="28"/>
          <w:szCs w:val="28"/>
        </w:rPr>
      </w:pPr>
    </w:p>
    <w:p w:rsidR="008344C5" w:rsidRPr="003560FE" w:rsidRDefault="008344C5" w:rsidP="008344C5">
      <w:pPr>
        <w:pStyle w:val="Times12"/>
        <w:overflowPunct/>
        <w:autoSpaceDE/>
        <w:ind w:firstLine="360"/>
        <w:rPr>
          <w:b/>
          <w:sz w:val="28"/>
          <w:szCs w:val="28"/>
        </w:rPr>
      </w:pPr>
    </w:p>
    <w:p w:rsidR="008344C5" w:rsidRPr="003560FE" w:rsidRDefault="008344C5" w:rsidP="00746F45">
      <w:pPr>
        <w:pStyle w:val="2"/>
        <w:numPr>
          <w:ilvl w:val="0"/>
          <w:numId w:val="0"/>
        </w:numPr>
        <w:spacing w:before="0" w:after="0"/>
        <w:jc w:val="center"/>
        <w:rPr>
          <w:sz w:val="28"/>
        </w:rPr>
      </w:pPr>
      <w:r w:rsidRPr="003560FE">
        <w:rPr>
          <w:rFonts w:cs="Times New Roman"/>
        </w:rPr>
        <w:t xml:space="preserve">Технические требования </w:t>
      </w:r>
    </w:p>
    <w:p w:rsidR="008344C5" w:rsidRPr="003560FE" w:rsidRDefault="008344C5" w:rsidP="008344C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560FE">
        <w:rPr>
          <w:rFonts w:ascii="Times New Roman" w:hAnsi="Times New Roman"/>
          <w:sz w:val="28"/>
          <w:szCs w:val="28"/>
        </w:rPr>
        <w:t>Товар должен быть:</w:t>
      </w:r>
    </w:p>
    <w:p w:rsidR="008344C5" w:rsidRPr="003560FE" w:rsidRDefault="008344C5" w:rsidP="008344C5">
      <w:pPr>
        <w:numPr>
          <w:ilvl w:val="0"/>
          <w:numId w:val="8"/>
        </w:numPr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560FE">
        <w:rPr>
          <w:rFonts w:ascii="Times New Roman" w:hAnsi="Times New Roman"/>
          <w:sz w:val="28"/>
          <w:szCs w:val="28"/>
        </w:rPr>
        <w:t>оригинальным;</w:t>
      </w:r>
    </w:p>
    <w:p w:rsidR="008344C5" w:rsidRPr="003560FE" w:rsidRDefault="008344C5" w:rsidP="008344C5">
      <w:pPr>
        <w:numPr>
          <w:ilvl w:val="0"/>
          <w:numId w:val="8"/>
        </w:numPr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560FE">
        <w:rPr>
          <w:rFonts w:ascii="Times New Roman" w:hAnsi="Times New Roman"/>
          <w:sz w:val="28"/>
          <w:szCs w:val="28"/>
        </w:rPr>
        <w:t>новым, не восстановленным и не собранным из восстановленных элементов, ранее не использовавшимся, произведенным не ранее 201</w:t>
      </w:r>
      <w:r>
        <w:rPr>
          <w:rFonts w:ascii="Times New Roman" w:hAnsi="Times New Roman"/>
          <w:sz w:val="28"/>
          <w:szCs w:val="28"/>
        </w:rPr>
        <w:t>3</w:t>
      </w:r>
      <w:r w:rsidRPr="003560FE">
        <w:rPr>
          <w:rFonts w:ascii="Times New Roman" w:hAnsi="Times New Roman"/>
          <w:sz w:val="28"/>
          <w:szCs w:val="28"/>
        </w:rPr>
        <w:t xml:space="preserve"> года, а также не должен иметь дефектов, связанных с конструкцией, материалами или функционированием при его использовании;</w:t>
      </w:r>
    </w:p>
    <w:p w:rsidR="008344C5" w:rsidRPr="003560FE" w:rsidRDefault="008344C5" w:rsidP="008344C5">
      <w:pPr>
        <w:numPr>
          <w:ilvl w:val="0"/>
          <w:numId w:val="8"/>
        </w:numPr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560FE">
        <w:rPr>
          <w:rFonts w:ascii="Times New Roman" w:hAnsi="Times New Roman"/>
          <w:sz w:val="28"/>
          <w:szCs w:val="28"/>
        </w:rPr>
        <w:t>сертифицирован, его качество должно соответствовать государственным стандартам Российской Федерации или техническим условиям производителей «Товара»;</w:t>
      </w:r>
    </w:p>
    <w:p w:rsidR="008344C5" w:rsidRPr="009E5221" w:rsidRDefault="008344C5" w:rsidP="00F42D70">
      <w:pPr>
        <w:numPr>
          <w:ilvl w:val="0"/>
          <w:numId w:val="8"/>
        </w:numPr>
        <w:suppressAutoHyphens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42D70">
        <w:rPr>
          <w:rFonts w:ascii="Times New Roman" w:hAnsi="Times New Roman"/>
          <w:sz w:val="28"/>
          <w:szCs w:val="28"/>
        </w:rPr>
        <w:t>в случае несоответствия партномеров по запасным частям оборудования и расходным материалам должны прилагаться технические бюллетени соответствующего производителя с указанием применяемости данного партномера.</w:t>
      </w:r>
      <w:r w:rsidR="00F42D70" w:rsidRPr="009E5221">
        <w:rPr>
          <w:rFonts w:ascii="Times New Roman" w:hAnsi="Times New Roman"/>
          <w:b/>
          <w:sz w:val="24"/>
          <w:szCs w:val="24"/>
        </w:rPr>
        <w:t xml:space="preserve"> </w:t>
      </w:r>
    </w:p>
    <w:sectPr w:rsidR="008344C5" w:rsidRPr="009E5221" w:rsidSect="008A7D95">
      <w:pgSz w:w="16838" w:h="11906" w:orient="landscape"/>
      <w:pgMar w:top="1210" w:right="568" w:bottom="424" w:left="15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Grande">
    <w:altName w:val="Arial"/>
    <w:charset w:val="00"/>
    <w:family w:val="auto"/>
    <w:pitch w:val="variable"/>
    <w:sig w:usb0="00000003" w:usb1="00000000" w:usb2="00000000" w:usb3="00000000" w:csb0="00000001" w:csb1="00000000"/>
  </w:font>
  <w:font w:name="Microsoft YaHei"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9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4">
    <w:nsid w:val="040D2420"/>
    <w:multiLevelType w:val="hybridMultilevel"/>
    <w:tmpl w:val="9008F36A"/>
    <w:lvl w:ilvl="0" w:tplc="345058B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910841"/>
    <w:multiLevelType w:val="multilevel"/>
    <w:tmpl w:val="E9562CDA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4B5128B0"/>
    <w:multiLevelType w:val="hybridMultilevel"/>
    <w:tmpl w:val="65D40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EC22B4"/>
    <w:multiLevelType w:val="hybridMultilevel"/>
    <w:tmpl w:val="215E7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5326DB"/>
    <w:multiLevelType w:val="hybridMultilevel"/>
    <w:tmpl w:val="A77E1494"/>
    <w:lvl w:ilvl="0" w:tplc="6B74A97C">
      <w:start w:val="1"/>
      <w:numFmt w:val="upperRoman"/>
      <w:pStyle w:val="2"/>
      <w:lvlText w:val="%1."/>
      <w:lvlJc w:val="right"/>
      <w:pPr>
        <w:ind w:left="720" w:hanging="360"/>
      </w:pPr>
    </w:lvl>
    <w:lvl w:ilvl="1" w:tplc="9FE221E0" w:tentative="1">
      <w:start w:val="1"/>
      <w:numFmt w:val="lowerLetter"/>
      <w:lvlText w:val="%2."/>
      <w:lvlJc w:val="left"/>
      <w:pPr>
        <w:ind w:left="1440" w:hanging="360"/>
      </w:pPr>
    </w:lvl>
    <w:lvl w:ilvl="2" w:tplc="1AA2F780" w:tentative="1">
      <w:start w:val="1"/>
      <w:numFmt w:val="lowerRoman"/>
      <w:lvlText w:val="%3."/>
      <w:lvlJc w:val="right"/>
      <w:pPr>
        <w:ind w:left="2160" w:hanging="180"/>
      </w:pPr>
    </w:lvl>
    <w:lvl w:ilvl="3" w:tplc="80F60176" w:tentative="1">
      <w:start w:val="1"/>
      <w:numFmt w:val="decimal"/>
      <w:lvlText w:val="%4."/>
      <w:lvlJc w:val="left"/>
      <w:pPr>
        <w:ind w:left="2880" w:hanging="360"/>
      </w:pPr>
    </w:lvl>
    <w:lvl w:ilvl="4" w:tplc="74962F96" w:tentative="1">
      <w:start w:val="1"/>
      <w:numFmt w:val="lowerLetter"/>
      <w:lvlText w:val="%5."/>
      <w:lvlJc w:val="left"/>
      <w:pPr>
        <w:ind w:left="3600" w:hanging="360"/>
      </w:pPr>
    </w:lvl>
    <w:lvl w:ilvl="5" w:tplc="E770316E" w:tentative="1">
      <w:start w:val="1"/>
      <w:numFmt w:val="lowerRoman"/>
      <w:lvlText w:val="%6."/>
      <w:lvlJc w:val="right"/>
      <w:pPr>
        <w:ind w:left="4320" w:hanging="180"/>
      </w:pPr>
    </w:lvl>
    <w:lvl w:ilvl="6" w:tplc="9C923224" w:tentative="1">
      <w:start w:val="1"/>
      <w:numFmt w:val="decimal"/>
      <w:lvlText w:val="%7."/>
      <w:lvlJc w:val="left"/>
      <w:pPr>
        <w:ind w:left="5040" w:hanging="360"/>
      </w:pPr>
    </w:lvl>
    <w:lvl w:ilvl="7" w:tplc="14509EC4" w:tentative="1">
      <w:start w:val="1"/>
      <w:numFmt w:val="lowerLetter"/>
      <w:lvlText w:val="%8."/>
      <w:lvlJc w:val="left"/>
      <w:pPr>
        <w:ind w:left="5760" w:hanging="360"/>
      </w:pPr>
    </w:lvl>
    <w:lvl w:ilvl="8" w:tplc="3DB22C4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embedSystemFonts/>
  <w:proofState w:grammar="clean"/>
  <w:stylePaneFormatFilter w:val="0000"/>
  <w:defaultTabStop w:val="708"/>
  <w:defaultTableStyle w:val="a0"/>
  <w:drawingGridHorizontalSpacing w:val="110"/>
  <w:drawingGridVerticalSpacing w:val="0"/>
  <w:displayHorizontalDrawingGridEvery w:val="0"/>
  <w:displayVerticalDrawingGridEvery w:val="0"/>
  <w:characterSpacingControl w:val="doNotCompress"/>
  <w:compat/>
  <w:rsids>
    <w:rsidRoot w:val="00A175E1"/>
    <w:rsid w:val="00016254"/>
    <w:rsid w:val="00030823"/>
    <w:rsid w:val="00030B68"/>
    <w:rsid w:val="000368A0"/>
    <w:rsid w:val="00041980"/>
    <w:rsid w:val="0004262E"/>
    <w:rsid w:val="00051808"/>
    <w:rsid w:val="00053F18"/>
    <w:rsid w:val="00082D43"/>
    <w:rsid w:val="000859E4"/>
    <w:rsid w:val="00092977"/>
    <w:rsid w:val="000A31F9"/>
    <w:rsid w:val="000A3CCE"/>
    <w:rsid w:val="000B556B"/>
    <w:rsid w:val="000B5864"/>
    <w:rsid w:val="000B68FE"/>
    <w:rsid w:val="000D3D40"/>
    <w:rsid w:val="000D5BF5"/>
    <w:rsid w:val="000D7D8F"/>
    <w:rsid w:val="000E6A71"/>
    <w:rsid w:val="000F6E6D"/>
    <w:rsid w:val="0010709D"/>
    <w:rsid w:val="00110187"/>
    <w:rsid w:val="001113E2"/>
    <w:rsid w:val="00113F67"/>
    <w:rsid w:val="00117EAE"/>
    <w:rsid w:val="00122A8E"/>
    <w:rsid w:val="0012675C"/>
    <w:rsid w:val="00131211"/>
    <w:rsid w:val="00153F97"/>
    <w:rsid w:val="00160D07"/>
    <w:rsid w:val="00162074"/>
    <w:rsid w:val="0016481B"/>
    <w:rsid w:val="00172821"/>
    <w:rsid w:val="00174CF7"/>
    <w:rsid w:val="00174F20"/>
    <w:rsid w:val="001823B4"/>
    <w:rsid w:val="00182998"/>
    <w:rsid w:val="001942EF"/>
    <w:rsid w:val="001A5D23"/>
    <w:rsid w:val="001B17A9"/>
    <w:rsid w:val="001C581D"/>
    <w:rsid w:val="001D1E8F"/>
    <w:rsid w:val="001D318B"/>
    <w:rsid w:val="001D5B5B"/>
    <w:rsid w:val="001D5CB3"/>
    <w:rsid w:val="001D7841"/>
    <w:rsid w:val="001E6C39"/>
    <w:rsid w:val="001F7192"/>
    <w:rsid w:val="00212328"/>
    <w:rsid w:val="00216729"/>
    <w:rsid w:val="0022340F"/>
    <w:rsid w:val="00225BDB"/>
    <w:rsid w:val="00232BA6"/>
    <w:rsid w:val="0023766F"/>
    <w:rsid w:val="00245D94"/>
    <w:rsid w:val="00246BD0"/>
    <w:rsid w:val="00250243"/>
    <w:rsid w:val="00255E14"/>
    <w:rsid w:val="00256D81"/>
    <w:rsid w:val="002773F7"/>
    <w:rsid w:val="00286611"/>
    <w:rsid w:val="002871AB"/>
    <w:rsid w:val="0029454B"/>
    <w:rsid w:val="00295120"/>
    <w:rsid w:val="002A567F"/>
    <w:rsid w:val="002A7246"/>
    <w:rsid w:val="002B0C3D"/>
    <w:rsid w:val="002B3905"/>
    <w:rsid w:val="002B3C2A"/>
    <w:rsid w:val="002D2727"/>
    <w:rsid w:val="002D31DE"/>
    <w:rsid w:val="002E65D4"/>
    <w:rsid w:val="002F24D3"/>
    <w:rsid w:val="003027E4"/>
    <w:rsid w:val="00304CA7"/>
    <w:rsid w:val="003107B1"/>
    <w:rsid w:val="00312E17"/>
    <w:rsid w:val="00323162"/>
    <w:rsid w:val="00326533"/>
    <w:rsid w:val="003321A6"/>
    <w:rsid w:val="0033693E"/>
    <w:rsid w:val="00351183"/>
    <w:rsid w:val="00364E6C"/>
    <w:rsid w:val="00372078"/>
    <w:rsid w:val="00381528"/>
    <w:rsid w:val="00391E5D"/>
    <w:rsid w:val="00392242"/>
    <w:rsid w:val="003B23A2"/>
    <w:rsid w:val="003C0A77"/>
    <w:rsid w:val="003D2234"/>
    <w:rsid w:val="003E0719"/>
    <w:rsid w:val="003E1A73"/>
    <w:rsid w:val="003E7D27"/>
    <w:rsid w:val="00415C5A"/>
    <w:rsid w:val="0042082B"/>
    <w:rsid w:val="004214E7"/>
    <w:rsid w:val="00421AF1"/>
    <w:rsid w:val="004336EC"/>
    <w:rsid w:val="00446020"/>
    <w:rsid w:val="00452019"/>
    <w:rsid w:val="00453306"/>
    <w:rsid w:val="00464394"/>
    <w:rsid w:val="00465211"/>
    <w:rsid w:val="00465679"/>
    <w:rsid w:val="00481119"/>
    <w:rsid w:val="00482D2E"/>
    <w:rsid w:val="00491EA0"/>
    <w:rsid w:val="004A054E"/>
    <w:rsid w:val="004C24BB"/>
    <w:rsid w:val="004E0C9A"/>
    <w:rsid w:val="004E6AF6"/>
    <w:rsid w:val="004E6F8A"/>
    <w:rsid w:val="004E79E7"/>
    <w:rsid w:val="004F4FDF"/>
    <w:rsid w:val="004F6D2F"/>
    <w:rsid w:val="00500518"/>
    <w:rsid w:val="005100D4"/>
    <w:rsid w:val="005137A6"/>
    <w:rsid w:val="00514667"/>
    <w:rsid w:val="00520781"/>
    <w:rsid w:val="005209FA"/>
    <w:rsid w:val="00530443"/>
    <w:rsid w:val="0055211F"/>
    <w:rsid w:val="00553733"/>
    <w:rsid w:val="00554177"/>
    <w:rsid w:val="00555E6D"/>
    <w:rsid w:val="005579FE"/>
    <w:rsid w:val="00590197"/>
    <w:rsid w:val="005962EC"/>
    <w:rsid w:val="005A64F3"/>
    <w:rsid w:val="005B5A87"/>
    <w:rsid w:val="005B5B89"/>
    <w:rsid w:val="005D40E1"/>
    <w:rsid w:val="005D4DDA"/>
    <w:rsid w:val="005E09C9"/>
    <w:rsid w:val="005F026B"/>
    <w:rsid w:val="00601188"/>
    <w:rsid w:val="0060558F"/>
    <w:rsid w:val="00616EDB"/>
    <w:rsid w:val="00622ED8"/>
    <w:rsid w:val="006401D0"/>
    <w:rsid w:val="00654915"/>
    <w:rsid w:val="00661B97"/>
    <w:rsid w:val="00661D27"/>
    <w:rsid w:val="006654CD"/>
    <w:rsid w:val="006730CF"/>
    <w:rsid w:val="00680F7E"/>
    <w:rsid w:val="00682964"/>
    <w:rsid w:val="006835EC"/>
    <w:rsid w:val="006965A1"/>
    <w:rsid w:val="006B602A"/>
    <w:rsid w:val="006D01A2"/>
    <w:rsid w:val="006D368C"/>
    <w:rsid w:val="006F18EF"/>
    <w:rsid w:val="007022E8"/>
    <w:rsid w:val="007220D4"/>
    <w:rsid w:val="00725E1A"/>
    <w:rsid w:val="00726817"/>
    <w:rsid w:val="00732FB7"/>
    <w:rsid w:val="00746F45"/>
    <w:rsid w:val="00762BE6"/>
    <w:rsid w:val="00764A40"/>
    <w:rsid w:val="00770C35"/>
    <w:rsid w:val="00771609"/>
    <w:rsid w:val="007873B1"/>
    <w:rsid w:val="0079025A"/>
    <w:rsid w:val="00796B2C"/>
    <w:rsid w:val="0079754D"/>
    <w:rsid w:val="007A0DF0"/>
    <w:rsid w:val="007A12E0"/>
    <w:rsid w:val="007A1629"/>
    <w:rsid w:val="007A5065"/>
    <w:rsid w:val="007A5B7E"/>
    <w:rsid w:val="007A6722"/>
    <w:rsid w:val="007A7799"/>
    <w:rsid w:val="007B0DE7"/>
    <w:rsid w:val="007C072F"/>
    <w:rsid w:val="007C46B2"/>
    <w:rsid w:val="007D58AE"/>
    <w:rsid w:val="007D5EB0"/>
    <w:rsid w:val="007D73DE"/>
    <w:rsid w:val="007E5C19"/>
    <w:rsid w:val="00804BC0"/>
    <w:rsid w:val="00817A6D"/>
    <w:rsid w:val="0082283E"/>
    <w:rsid w:val="008276C8"/>
    <w:rsid w:val="008344C5"/>
    <w:rsid w:val="00854745"/>
    <w:rsid w:val="00855231"/>
    <w:rsid w:val="00880AB5"/>
    <w:rsid w:val="008855B2"/>
    <w:rsid w:val="008911D8"/>
    <w:rsid w:val="00891C1A"/>
    <w:rsid w:val="00895027"/>
    <w:rsid w:val="00897535"/>
    <w:rsid w:val="008A2511"/>
    <w:rsid w:val="008A3B35"/>
    <w:rsid w:val="008A7D95"/>
    <w:rsid w:val="008B09E3"/>
    <w:rsid w:val="008B334E"/>
    <w:rsid w:val="008C4262"/>
    <w:rsid w:val="008D18FA"/>
    <w:rsid w:val="008E6444"/>
    <w:rsid w:val="008F7336"/>
    <w:rsid w:val="0090003F"/>
    <w:rsid w:val="00907B69"/>
    <w:rsid w:val="009115D8"/>
    <w:rsid w:val="009235BA"/>
    <w:rsid w:val="009304F1"/>
    <w:rsid w:val="00942035"/>
    <w:rsid w:val="00945AEF"/>
    <w:rsid w:val="009524A6"/>
    <w:rsid w:val="00952BCB"/>
    <w:rsid w:val="0095381C"/>
    <w:rsid w:val="00956BD1"/>
    <w:rsid w:val="00965E85"/>
    <w:rsid w:val="00972132"/>
    <w:rsid w:val="00973063"/>
    <w:rsid w:val="009872A5"/>
    <w:rsid w:val="0099521B"/>
    <w:rsid w:val="009A6E43"/>
    <w:rsid w:val="009B0C5E"/>
    <w:rsid w:val="009C1652"/>
    <w:rsid w:val="009C43A3"/>
    <w:rsid w:val="009C59AA"/>
    <w:rsid w:val="009D589A"/>
    <w:rsid w:val="009E5221"/>
    <w:rsid w:val="009E5353"/>
    <w:rsid w:val="009F1043"/>
    <w:rsid w:val="009F1596"/>
    <w:rsid w:val="009F17BB"/>
    <w:rsid w:val="00A118D8"/>
    <w:rsid w:val="00A12BF1"/>
    <w:rsid w:val="00A1695A"/>
    <w:rsid w:val="00A175E1"/>
    <w:rsid w:val="00A2571A"/>
    <w:rsid w:val="00A413AB"/>
    <w:rsid w:val="00A52D94"/>
    <w:rsid w:val="00A75FC6"/>
    <w:rsid w:val="00A83F50"/>
    <w:rsid w:val="00A908F9"/>
    <w:rsid w:val="00A928FE"/>
    <w:rsid w:val="00A969C3"/>
    <w:rsid w:val="00AA50AF"/>
    <w:rsid w:val="00AB5B54"/>
    <w:rsid w:val="00AD6C06"/>
    <w:rsid w:val="00AE14AF"/>
    <w:rsid w:val="00AE3E81"/>
    <w:rsid w:val="00AE5609"/>
    <w:rsid w:val="00AE7C79"/>
    <w:rsid w:val="00B01A07"/>
    <w:rsid w:val="00B14596"/>
    <w:rsid w:val="00B15505"/>
    <w:rsid w:val="00B2234F"/>
    <w:rsid w:val="00B33547"/>
    <w:rsid w:val="00B3624C"/>
    <w:rsid w:val="00B365E3"/>
    <w:rsid w:val="00B41E54"/>
    <w:rsid w:val="00B45EFE"/>
    <w:rsid w:val="00B521B9"/>
    <w:rsid w:val="00B53C6B"/>
    <w:rsid w:val="00B54927"/>
    <w:rsid w:val="00B55CF0"/>
    <w:rsid w:val="00B62F1B"/>
    <w:rsid w:val="00B639B8"/>
    <w:rsid w:val="00B7045B"/>
    <w:rsid w:val="00B855A4"/>
    <w:rsid w:val="00B9083B"/>
    <w:rsid w:val="00B92396"/>
    <w:rsid w:val="00B93141"/>
    <w:rsid w:val="00BA0289"/>
    <w:rsid w:val="00BA19C3"/>
    <w:rsid w:val="00BB4241"/>
    <w:rsid w:val="00BC3A49"/>
    <w:rsid w:val="00BC4F7E"/>
    <w:rsid w:val="00BC67EF"/>
    <w:rsid w:val="00BD04B1"/>
    <w:rsid w:val="00BD2E07"/>
    <w:rsid w:val="00BD5C8B"/>
    <w:rsid w:val="00BE03DE"/>
    <w:rsid w:val="00BE227F"/>
    <w:rsid w:val="00BE5196"/>
    <w:rsid w:val="00BF59FB"/>
    <w:rsid w:val="00BF7832"/>
    <w:rsid w:val="00C17F86"/>
    <w:rsid w:val="00C20CD6"/>
    <w:rsid w:val="00C30032"/>
    <w:rsid w:val="00C35DF0"/>
    <w:rsid w:val="00C42A50"/>
    <w:rsid w:val="00C42E09"/>
    <w:rsid w:val="00C4308D"/>
    <w:rsid w:val="00C5194B"/>
    <w:rsid w:val="00C55E66"/>
    <w:rsid w:val="00C57443"/>
    <w:rsid w:val="00C60522"/>
    <w:rsid w:val="00C76AAF"/>
    <w:rsid w:val="00C84AEC"/>
    <w:rsid w:val="00C92002"/>
    <w:rsid w:val="00C97D3C"/>
    <w:rsid w:val="00CA2718"/>
    <w:rsid w:val="00CB1F27"/>
    <w:rsid w:val="00CB32EE"/>
    <w:rsid w:val="00CB3ECF"/>
    <w:rsid w:val="00CB653A"/>
    <w:rsid w:val="00CC2AF0"/>
    <w:rsid w:val="00CC3B52"/>
    <w:rsid w:val="00CC5CF0"/>
    <w:rsid w:val="00CC6403"/>
    <w:rsid w:val="00CD1C3D"/>
    <w:rsid w:val="00CD3758"/>
    <w:rsid w:val="00CD511B"/>
    <w:rsid w:val="00CE5C04"/>
    <w:rsid w:val="00CF10AD"/>
    <w:rsid w:val="00D000B0"/>
    <w:rsid w:val="00D02A73"/>
    <w:rsid w:val="00D114CF"/>
    <w:rsid w:val="00D23F95"/>
    <w:rsid w:val="00D27FA0"/>
    <w:rsid w:val="00D53A94"/>
    <w:rsid w:val="00D54B0F"/>
    <w:rsid w:val="00D67D7D"/>
    <w:rsid w:val="00DA7288"/>
    <w:rsid w:val="00DB06BE"/>
    <w:rsid w:val="00DB12F7"/>
    <w:rsid w:val="00DB2434"/>
    <w:rsid w:val="00DB391D"/>
    <w:rsid w:val="00DC4B88"/>
    <w:rsid w:val="00DC743C"/>
    <w:rsid w:val="00DC7CE3"/>
    <w:rsid w:val="00DD12B9"/>
    <w:rsid w:val="00DE347D"/>
    <w:rsid w:val="00DF492C"/>
    <w:rsid w:val="00DF512A"/>
    <w:rsid w:val="00E05429"/>
    <w:rsid w:val="00E11134"/>
    <w:rsid w:val="00E159A5"/>
    <w:rsid w:val="00E20E75"/>
    <w:rsid w:val="00E26079"/>
    <w:rsid w:val="00E31D64"/>
    <w:rsid w:val="00E329ED"/>
    <w:rsid w:val="00E40F0D"/>
    <w:rsid w:val="00E46B5F"/>
    <w:rsid w:val="00E47316"/>
    <w:rsid w:val="00E636D1"/>
    <w:rsid w:val="00E65D42"/>
    <w:rsid w:val="00E66642"/>
    <w:rsid w:val="00E66B30"/>
    <w:rsid w:val="00E70330"/>
    <w:rsid w:val="00E80F36"/>
    <w:rsid w:val="00EC1236"/>
    <w:rsid w:val="00EE3614"/>
    <w:rsid w:val="00EF6E44"/>
    <w:rsid w:val="00F028CB"/>
    <w:rsid w:val="00F0378A"/>
    <w:rsid w:val="00F06A30"/>
    <w:rsid w:val="00F127B3"/>
    <w:rsid w:val="00F13C5F"/>
    <w:rsid w:val="00F15A5D"/>
    <w:rsid w:val="00F22479"/>
    <w:rsid w:val="00F24092"/>
    <w:rsid w:val="00F2441E"/>
    <w:rsid w:val="00F350DE"/>
    <w:rsid w:val="00F42D70"/>
    <w:rsid w:val="00F4411D"/>
    <w:rsid w:val="00F467D9"/>
    <w:rsid w:val="00F64CA9"/>
    <w:rsid w:val="00F73347"/>
    <w:rsid w:val="00F739CE"/>
    <w:rsid w:val="00F74290"/>
    <w:rsid w:val="00F9379A"/>
    <w:rsid w:val="00FB59D2"/>
    <w:rsid w:val="00FC6365"/>
    <w:rsid w:val="00FD0AF2"/>
    <w:rsid w:val="00FD10B7"/>
    <w:rsid w:val="00FE3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Document Map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E03DE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E03DE"/>
    <w:pPr>
      <w:keepNext/>
      <w:numPr>
        <w:numId w:val="1"/>
      </w:numPr>
      <w:tabs>
        <w:tab w:val="left" w:pos="1134"/>
      </w:tabs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11134"/>
    <w:pPr>
      <w:keepNext/>
      <w:numPr>
        <w:numId w:val="5"/>
      </w:numPr>
      <w:spacing w:before="240" w:after="60" w:line="240" w:lineRule="auto"/>
      <w:outlineLvl w:val="1"/>
    </w:pPr>
    <w:rPr>
      <w:rFonts w:ascii="Times New Roman" w:hAnsi="Times New Roman" w:cs="Arial"/>
      <w:b/>
      <w:bCs/>
      <w:iCs/>
      <w:sz w:val="32"/>
      <w:szCs w:val="28"/>
    </w:rPr>
  </w:style>
  <w:style w:type="paragraph" w:styleId="3">
    <w:name w:val="heading 3"/>
    <w:basedOn w:val="a0"/>
    <w:next w:val="a0"/>
    <w:link w:val="30"/>
    <w:qFormat/>
    <w:rsid w:val="00BF59FB"/>
    <w:pPr>
      <w:keepNext/>
      <w:spacing w:before="120" w:after="60"/>
      <w:outlineLvl w:val="2"/>
    </w:pPr>
    <w:rPr>
      <w:rFonts w:ascii="Times New Roman" w:hAnsi="Times New Roman"/>
      <w:b/>
      <w:bCs/>
      <w:sz w:val="24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7873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BE03DE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BE03DE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BE03DE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BE03DE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BE03DE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BE03DE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BE03DE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BE03DE"/>
    <w:rPr>
      <w:rFonts w:cs="Times New Roman"/>
    </w:rPr>
  </w:style>
  <w:style w:type="character" w:customStyle="1" w:styleId="WW8Num5z0">
    <w:name w:val="WW8Num5z0"/>
    <w:rsid w:val="00BE03DE"/>
    <w:rPr>
      <w:rFonts w:ascii="Symbol" w:hAnsi="Symbol"/>
      <w:b/>
    </w:rPr>
  </w:style>
  <w:style w:type="character" w:customStyle="1" w:styleId="WW8Num5z1">
    <w:name w:val="WW8Num5z1"/>
    <w:rsid w:val="00BE03DE"/>
    <w:rPr>
      <w:rFonts w:cs="Times New Roman"/>
      <w:b/>
    </w:rPr>
  </w:style>
  <w:style w:type="character" w:customStyle="1" w:styleId="WW8Num5z2">
    <w:name w:val="WW8Num5z2"/>
    <w:rsid w:val="00BE03DE"/>
    <w:rPr>
      <w:rFonts w:ascii="Symbol" w:hAnsi="Symbol"/>
    </w:rPr>
  </w:style>
  <w:style w:type="character" w:customStyle="1" w:styleId="WW8Num5z3">
    <w:name w:val="WW8Num5z3"/>
    <w:rsid w:val="00BE03DE"/>
    <w:rPr>
      <w:rFonts w:cs="Times New Roman"/>
    </w:rPr>
  </w:style>
  <w:style w:type="character" w:customStyle="1" w:styleId="WW8Num6z0">
    <w:name w:val="WW8Num6z0"/>
    <w:rsid w:val="00BE03DE"/>
    <w:rPr>
      <w:rFonts w:ascii="Symbol" w:hAnsi="Symbol"/>
      <w:b/>
    </w:rPr>
  </w:style>
  <w:style w:type="character" w:customStyle="1" w:styleId="WW8Num6z1">
    <w:name w:val="WW8Num6z1"/>
    <w:rsid w:val="00BE03DE"/>
    <w:rPr>
      <w:rFonts w:cs="Times New Roman"/>
      <w:b/>
    </w:rPr>
  </w:style>
  <w:style w:type="character" w:customStyle="1" w:styleId="WW8Num6z2">
    <w:name w:val="WW8Num6z2"/>
    <w:rsid w:val="00BE03DE"/>
    <w:rPr>
      <w:rFonts w:ascii="Symbol" w:hAnsi="Symbol"/>
    </w:rPr>
  </w:style>
  <w:style w:type="character" w:customStyle="1" w:styleId="WW8Num6z3">
    <w:name w:val="WW8Num6z3"/>
    <w:rsid w:val="00BE03DE"/>
    <w:rPr>
      <w:rFonts w:cs="Times New Roman"/>
    </w:rPr>
  </w:style>
  <w:style w:type="character" w:customStyle="1" w:styleId="WW8Num7z0">
    <w:name w:val="WW8Num7z0"/>
    <w:rsid w:val="00BE03DE"/>
    <w:rPr>
      <w:rFonts w:cs="Times New Roman"/>
      <w:b/>
    </w:rPr>
  </w:style>
  <w:style w:type="character" w:customStyle="1" w:styleId="WW8Num7z2">
    <w:name w:val="WW8Num7z2"/>
    <w:rsid w:val="00BE03DE"/>
    <w:rPr>
      <w:rFonts w:cs="Times New Roman"/>
    </w:rPr>
  </w:style>
  <w:style w:type="character" w:customStyle="1" w:styleId="WW8Num8z0">
    <w:name w:val="WW8Num8z0"/>
    <w:rsid w:val="00BE03DE"/>
    <w:rPr>
      <w:rFonts w:cs="Times New Roman"/>
    </w:rPr>
  </w:style>
  <w:style w:type="character" w:customStyle="1" w:styleId="WW8Num9z0">
    <w:name w:val="WW8Num9z0"/>
    <w:rsid w:val="00BE03DE"/>
    <w:rPr>
      <w:rFonts w:cs="Times New Roman"/>
    </w:rPr>
  </w:style>
  <w:style w:type="character" w:customStyle="1" w:styleId="WW8Num9z2">
    <w:name w:val="WW8Num9z2"/>
    <w:rsid w:val="00BE03DE"/>
    <w:rPr>
      <w:rFonts w:cs="Times New Roman"/>
      <w:b w:val="0"/>
      <w:i w:val="0"/>
    </w:rPr>
  </w:style>
  <w:style w:type="character" w:customStyle="1" w:styleId="WW8Num10z0">
    <w:name w:val="WW8Num10z0"/>
    <w:rsid w:val="00BE03DE"/>
    <w:rPr>
      <w:rFonts w:ascii="Symbol" w:hAnsi="Symbol"/>
    </w:rPr>
  </w:style>
  <w:style w:type="character" w:customStyle="1" w:styleId="WW8Num10z1">
    <w:name w:val="WW8Num10z1"/>
    <w:rsid w:val="00BE03DE"/>
    <w:rPr>
      <w:rFonts w:ascii="Courier New" w:hAnsi="Courier New"/>
    </w:rPr>
  </w:style>
  <w:style w:type="character" w:customStyle="1" w:styleId="WW8Num10z2">
    <w:name w:val="WW8Num10z2"/>
    <w:rsid w:val="00BE03DE"/>
    <w:rPr>
      <w:rFonts w:ascii="Wingdings" w:hAnsi="Wingdings"/>
    </w:rPr>
  </w:style>
  <w:style w:type="character" w:customStyle="1" w:styleId="WW8Num11z0">
    <w:name w:val="WW8Num11z0"/>
    <w:rsid w:val="00BE03DE"/>
    <w:rPr>
      <w:rFonts w:ascii="Symbol" w:hAnsi="Symbol"/>
    </w:rPr>
  </w:style>
  <w:style w:type="character" w:customStyle="1" w:styleId="WW8Num11z1">
    <w:name w:val="WW8Num11z1"/>
    <w:rsid w:val="00BE03DE"/>
    <w:rPr>
      <w:rFonts w:ascii="Courier New" w:hAnsi="Courier New"/>
    </w:rPr>
  </w:style>
  <w:style w:type="character" w:customStyle="1" w:styleId="WW8Num11z2">
    <w:name w:val="WW8Num11z2"/>
    <w:rsid w:val="00BE03DE"/>
    <w:rPr>
      <w:rFonts w:ascii="Wingdings" w:hAnsi="Wingdings"/>
    </w:rPr>
  </w:style>
  <w:style w:type="character" w:customStyle="1" w:styleId="11">
    <w:name w:val="Основной шрифт абзаца1"/>
    <w:rsid w:val="00BE03DE"/>
  </w:style>
  <w:style w:type="character" w:customStyle="1" w:styleId="a4">
    <w:name w:val="Знак Знак"/>
    <w:rsid w:val="00BE03DE"/>
  </w:style>
  <w:style w:type="character" w:customStyle="1" w:styleId="21">
    <w:name w:val="Знак Знак2"/>
    <w:rsid w:val="00BE03DE"/>
    <w:rPr>
      <w:rFonts w:ascii="Arial" w:hAnsi="Arial"/>
      <w:sz w:val="24"/>
      <w:lang w:val="ru-RU"/>
    </w:rPr>
  </w:style>
  <w:style w:type="character" w:customStyle="1" w:styleId="12">
    <w:name w:val="Гиперссылка1"/>
    <w:rsid w:val="00BE03DE"/>
    <w:rPr>
      <w:color w:val="0026F1"/>
      <w:sz w:val="20"/>
      <w:u w:val="single"/>
    </w:rPr>
  </w:style>
  <w:style w:type="character" w:customStyle="1" w:styleId="13">
    <w:name w:val="Обычный1 Знак"/>
    <w:rsid w:val="00BE03DE"/>
    <w:rPr>
      <w:color w:val="000000"/>
      <w:sz w:val="28"/>
      <w:lang w:val="ru-RU" w:eastAsia="ar-SA" w:bidi="ar-SA"/>
    </w:rPr>
  </w:style>
  <w:style w:type="character" w:styleId="a5">
    <w:name w:val="Strong"/>
    <w:qFormat/>
    <w:rsid w:val="00BE03DE"/>
    <w:rPr>
      <w:b/>
    </w:rPr>
  </w:style>
  <w:style w:type="character" w:customStyle="1" w:styleId="apple-style-span">
    <w:name w:val="apple-style-span"/>
    <w:rsid w:val="00BE03DE"/>
  </w:style>
  <w:style w:type="character" w:customStyle="1" w:styleId="a6">
    <w:name w:val="Маркеры списка"/>
    <w:rsid w:val="00BE03DE"/>
    <w:rPr>
      <w:rFonts w:ascii="OpenSymbol" w:eastAsia="OpenSymbol" w:hAnsi="OpenSymbol" w:cs="OpenSymbol"/>
    </w:rPr>
  </w:style>
  <w:style w:type="paragraph" w:customStyle="1" w:styleId="a7">
    <w:name w:val="Заголовок"/>
    <w:basedOn w:val="a0"/>
    <w:next w:val="a8"/>
    <w:rsid w:val="00BE03D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0"/>
    <w:rsid w:val="00BE03DE"/>
    <w:pPr>
      <w:spacing w:after="120"/>
    </w:pPr>
  </w:style>
  <w:style w:type="paragraph" w:styleId="a9">
    <w:name w:val="List"/>
    <w:basedOn w:val="a8"/>
    <w:rsid w:val="00BE03DE"/>
    <w:rPr>
      <w:rFonts w:cs="Mangal"/>
    </w:rPr>
  </w:style>
  <w:style w:type="paragraph" w:customStyle="1" w:styleId="14">
    <w:name w:val="Название1"/>
    <w:basedOn w:val="a0"/>
    <w:rsid w:val="00BE03D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5">
    <w:name w:val="Указатель1"/>
    <w:basedOn w:val="a0"/>
    <w:rsid w:val="00BE03DE"/>
    <w:pPr>
      <w:suppressLineNumbers/>
    </w:pPr>
    <w:rPr>
      <w:rFonts w:cs="Mangal"/>
    </w:rPr>
  </w:style>
  <w:style w:type="paragraph" w:customStyle="1" w:styleId="16">
    <w:name w:val="Абзац списка1"/>
    <w:basedOn w:val="a0"/>
    <w:rsid w:val="00BE03DE"/>
    <w:pPr>
      <w:ind w:left="720"/>
    </w:pPr>
  </w:style>
  <w:style w:type="paragraph" w:customStyle="1" w:styleId="110">
    <w:name w:val="заголовок 11"/>
    <w:basedOn w:val="a0"/>
    <w:next w:val="a0"/>
    <w:rsid w:val="00BE03DE"/>
    <w:pPr>
      <w:keepNext/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paragraph" w:styleId="HTML">
    <w:name w:val="HTML Preformatted"/>
    <w:basedOn w:val="a0"/>
    <w:rsid w:val="00BE03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Normal (Web)"/>
    <w:basedOn w:val="a0"/>
    <w:rsid w:val="00BE03DE"/>
    <w:pPr>
      <w:spacing w:before="100" w:after="100" w:line="240" w:lineRule="auto"/>
    </w:pPr>
    <w:rPr>
      <w:rFonts w:ascii="Times New Roman" w:hAnsi="Times New Roman"/>
      <w:sz w:val="24"/>
      <w:szCs w:val="20"/>
    </w:rPr>
  </w:style>
  <w:style w:type="paragraph" w:customStyle="1" w:styleId="ab">
    <w:name w:val="Знак Знак Знак Знак"/>
    <w:basedOn w:val="a0"/>
    <w:rsid w:val="00BE03DE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Список 21"/>
    <w:basedOn w:val="a0"/>
    <w:rsid w:val="00BE03DE"/>
    <w:pPr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ac">
    <w:name w:val="header"/>
    <w:basedOn w:val="a0"/>
    <w:link w:val="ad"/>
    <w:uiPriority w:val="99"/>
    <w:rsid w:val="00BE03DE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e">
    <w:name w:val="Balloon Text"/>
    <w:basedOn w:val="a0"/>
    <w:rsid w:val="00BE03DE"/>
    <w:rPr>
      <w:rFonts w:ascii="Tahoma" w:hAnsi="Tahoma" w:cs="Tahoma"/>
      <w:sz w:val="16"/>
      <w:szCs w:val="16"/>
    </w:rPr>
  </w:style>
  <w:style w:type="paragraph" w:customStyle="1" w:styleId="a">
    <w:name w:val="Пункт"/>
    <w:basedOn w:val="a0"/>
    <w:rsid w:val="00BE03DE"/>
    <w:pPr>
      <w:numPr>
        <w:numId w:val="2"/>
      </w:numPr>
      <w:tabs>
        <w:tab w:val="left" w:pos="1134"/>
      </w:tabs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211">
    <w:name w:val="Основной текст с отступом 21"/>
    <w:basedOn w:val="a0"/>
    <w:rsid w:val="00BE03DE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7">
    <w:name w:val="Основной текст1"/>
    <w:rsid w:val="00BE03DE"/>
    <w:pPr>
      <w:suppressAutoHyphens/>
      <w:spacing w:after="120"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8">
    <w:name w:val="Обычный1"/>
    <w:rsid w:val="00BE03DE"/>
    <w:pPr>
      <w:suppressAutoHyphens/>
      <w:spacing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9">
    <w:name w:val="Обычный (веб)1"/>
    <w:rsid w:val="00BE03DE"/>
    <w:pPr>
      <w:suppressAutoHyphens/>
      <w:spacing w:before="100" w:after="100"/>
    </w:pPr>
    <w:rPr>
      <w:rFonts w:eastAsia="Arial"/>
      <w:color w:val="000000"/>
      <w:sz w:val="24"/>
      <w:lang w:eastAsia="ar-SA"/>
    </w:rPr>
  </w:style>
  <w:style w:type="paragraph" w:customStyle="1" w:styleId="Times12">
    <w:name w:val="Times 12"/>
    <w:basedOn w:val="a0"/>
    <w:uiPriority w:val="99"/>
    <w:rsid w:val="00BE03DE"/>
    <w:pPr>
      <w:overflowPunct w:val="0"/>
      <w:autoSpaceDE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Default">
    <w:name w:val="Default"/>
    <w:rsid w:val="00BE03DE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1a">
    <w:name w:val="Текст1"/>
    <w:basedOn w:val="a0"/>
    <w:rsid w:val="00BE03DE"/>
    <w:pPr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Heading1">
    <w:name w:val="Heading1"/>
    <w:basedOn w:val="1"/>
    <w:rsid w:val="00BE03DE"/>
    <w:pPr>
      <w:numPr>
        <w:numId w:val="0"/>
      </w:numPr>
      <w:tabs>
        <w:tab w:val="left" w:pos="1134"/>
      </w:tabs>
      <w:spacing w:before="240" w:after="60"/>
      <w:jc w:val="center"/>
    </w:pPr>
    <w:rPr>
      <w:rFonts w:ascii="Arial" w:hAnsi="Arial" w:cs="Arial"/>
      <w:b/>
      <w:iCs w:val="0"/>
      <w:kern w:val="1"/>
      <w:sz w:val="32"/>
      <w:szCs w:val="32"/>
    </w:rPr>
  </w:style>
  <w:style w:type="paragraph" w:customStyle="1" w:styleId="af">
    <w:name w:val="Содержимое таблицы"/>
    <w:basedOn w:val="a0"/>
    <w:rsid w:val="00BE03DE"/>
    <w:pPr>
      <w:suppressLineNumbers/>
    </w:pPr>
  </w:style>
  <w:style w:type="paragraph" w:customStyle="1" w:styleId="af0">
    <w:name w:val="Заголовок таблицы"/>
    <w:basedOn w:val="af"/>
    <w:rsid w:val="00BE03DE"/>
    <w:pPr>
      <w:jc w:val="center"/>
    </w:pPr>
    <w:rPr>
      <w:b/>
      <w:bCs/>
    </w:rPr>
  </w:style>
  <w:style w:type="character" w:customStyle="1" w:styleId="30">
    <w:name w:val="Заголовок 3 Знак"/>
    <w:link w:val="3"/>
    <w:rsid w:val="00E11134"/>
    <w:rPr>
      <w:b/>
      <w:bCs/>
      <w:sz w:val="24"/>
      <w:szCs w:val="26"/>
      <w:lang w:eastAsia="ar-SA"/>
    </w:rPr>
  </w:style>
  <w:style w:type="character" w:customStyle="1" w:styleId="af1">
    <w:name w:val="Обычный (веб) Знак"/>
    <w:basedOn w:val="a1"/>
    <w:rsid w:val="00082D43"/>
    <w:rPr>
      <w:sz w:val="24"/>
      <w:szCs w:val="24"/>
      <w:lang w:val="ru-RU" w:eastAsia="ru-RU" w:bidi="ar-SA"/>
    </w:rPr>
  </w:style>
  <w:style w:type="paragraph" w:styleId="af2">
    <w:name w:val="TOC Heading"/>
    <w:basedOn w:val="1"/>
    <w:next w:val="a0"/>
    <w:uiPriority w:val="39"/>
    <w:semiHidden/>
    <w:unhideWhenUsed/>
    <w:qFormat/>
    <w:rsid w:val="001823B4"/>
    <w:pPr>
      <w:keepLines/>
      <w:numPr>
        <w:numId w:val="0"/>
      </w:numPr>
      <w:tabs>
        <w:tab w:val="left" w:pos="1134"/>
      </w:tabs>
      <w:suppressAutoHyphens w:val="0"/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1b">
    <w:name w:val="toc 1"/>
    <w:basedOn w:val="a0"/>
    <w:next w:val="a0"/>
    <w:autoRedefine/>
    <w:uiPriority w:val="39"/>
    <w:rsid w:val="001823B4"/>
  </w:style>
  <w:style w:type="paragraph" w:styleId="22">
    <w:name w:val="toc 2"/>
    <w:basedOn w:val="a0"/>
    <w:next w:val="a0"/>
    <w:autoRedefine/>
    <w:uiPriority w:val="39"/>
    <w:rsid w:val="001823B4"/>
    <w:pPr>
      <w:ind w:left="220"/>
    </w:pPr>
  </w:style>
  <w:style w:type="paragraph" w:styleId="31">
    <w:name w:val="toc 3"/>
    <w:basedOn w:val="a0"/>
    <w:next w:val="a0"/>
    <w:autoRedefine/>
    <w:uiPriority w:val="39"/>
    <w:rsid w:val="001823B4"/>
    <w:pPr>
      <w:ind w:left="440"/>
    </w:pPr>
  </w:style>
  <w:style w:type="character" w:styleId="af3">
    <w:name w:val="Hyperlink"/>
    <w:basedOn w:val="a1"/>
    <w:uiPriority w:val="99"/>
    <w:unhideWhenUsed/>
    <w:rsid w:val="001823B4"/>
    <w:rPr>
      <w:color w:val="0000FF"/>
      <w:u w:val="single"/>
    </w:rPr>
  </w:style>
  <w:style w:type="character" w:styleId="af4">
    <w:name w:val="Emphasis"/>
    <w:basedOn w:val="a1"/>
    <w:qFormat/>
    <w:rsid w:val="001823B4"/>
    <w:rPr>
      <w:i/>
      <w:iCs/>
    </w:rPr>
  </w:style>
  <w:style w:type="table" w:styleId="af5">
    <w:name w:val="Table Grid"/>
    <w:basedOn w:val="a2"/>
    <w:rsid w:val="004E6F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semiHidden/>
    <w:rsid w:val="007873B1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paragraph" w:customStyle="1" w:styleId="DefinitionTerm">
    <w:name w:val="Definition Term"/>
    <w:basedOn w:val="a0"/>
    <w:next w:val="DefinitionList"/>
    <w:uiPriority w:val="99"/>
    <w:rsid w:val="00F24092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DefinitionList">
    <w:name w:val="Definition List"/>
    <w:basedOn w:val="a0"/>
    <w:next w:val="DefinitionTerm"/>
    <w:uiPriority w:val="99"/>
    <w:rsid w:val="00F24092"/>
    <w:pPr>
      <w:suppressAutoHyphens w:val="0"/>
      <w:autoSpaceDE w:val="0"/>
      <w:autoSpaceDN w:val="0"/>
      <w:adjustRightInd w:val="0"/>
      <w:spacing w:after="0" w:line="240" w:lineRule="auto"/>
      <w:ind w:left="360"/>
    </w:pPr>
    <w:rPr>
      <w:rFonts w:ascii="Times New Roman" w:hAnsi="Times New Roman"/>
      <w:sz w:val="24"/>
      <w:szCs w:val="24"/>
      <w:lang w:eastAsia="ru-RU"/>
    </w:rPr>
  </w:style>
  <w:style w:type="paragraph" w:styleId="23">
    <w:name w:val="Body Text Indent 2"/>
    <w:basedOn w:val="a0"/>
    <w:link w:val="24"/>
    <w:rsid w:val="009E522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rsid w:val="009E5221"/>
    <w:rPr>
      <w:rFonts w:ascii="Calibri" w:hAnsi="Calibri"/>
      <w:sz w:val="22"/>
      <w:szCs w:val="22"/>
      <w:lang w:eastAsia="ar-SA"/>
    </w:rPr>
  </w:style>
  <w:style w:type="paragraph" w:styleId="af6">
    <w:name w:val="Document Map"/>
    <w:basedOn w:val="a0"/>
    <w:link w:val="af7"/>
    <w:uiPriority w:val="99"/>
    <w:rsid w:val="00232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1"/>
    <w:link w:val="af6"/>
    <w:uiPriority w:val="99"/>
    <w:rsid w:val="00232BA6"/>
    <w:rPr>
      <w:rFonts w:ascii="Tahoma" w:hAnsi="Tahoma" w:cs="Tahoma"/>
      <w:sz w:val="16"/>
      <w:szCs w:val="16"/>
      <w:lang w:eastAsia="ar-SA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44C5"/>
    <w:rPr>
      <w:iCs/>
      <w:sz w:val="24"/>
      <w:szCs w:val="24"/>
      <w:lang w:eastAsia="ar-SA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44C5"/>
    <w:rPr>
      <w:rFonts w:cs="Arial"/>
      <w:b/>
      <w:bCs/>
      <w:iCs/>
      <w:sz w:val="32"/>
      <w:szCs w:val="28"/>
      <w:lang w:eastAsia="ar-SA"/>
    </w:rPr>
  </w:style>
  <w:style w:type="character" w:customStyle="1" w:styleId="ad">
    <w:name w:val="Верхний колонтитул Знак"/>
    <w:basedOn w:val="a1"/>
    <w:link w:val="ac"/>
    <w:uiPriority w:val="99"/>
    <w:rsid w:val="008344C5"/>
    <w:rPr>
      <w:lang w:eastAsia="ar-SA"/>
    </w:rPr>
  </w:style>
  <w:style w:type="paragraph" w:styleId="af8">
    <w:name w:val="footer"/>
    <w:basedOn w:val="a0"/>
    <w:link w:val="af9"/>
    <w:uiPriority w:val="99"/>
    <w:unhideWhenUsed/>
    <w:rsid w:val="008344C5"/>
    <w:pPr>
      <w:tabs>
        <w:tab w:val="center" w:pos="4677"/>
        <w:tab w:val="right" w:pos="9355"/>
      </w:tabs>
      <w:suppressAutoHyphens w:val="0"/>
      <w:spacing w:after="0" w:line="240" w:lineRule="auto"/>
    </w:pPr>
    <w:rPr>
      <w:rFonts w:asciiTheme="minorHAnsi" w:eastAsiaTheme="minorEastAsia" w:hAnsiTheme="minorHAnsi" w:cstheme="minorBidi"/>
      <w:lang w:eastAsia="ru-RU"/>
    </w:rPr>
  </w:style>
  <w:style w:type="character" w:customStyle="1" w:styleId="af9">
    <w:name w:val="Нижний колонтитул Знак"/>
    <w:basedOn w:val="a1"/>
    <w:link w:val="af8"/>
    <w:uiPriority w:val="99"/>
    <w:rsid w:val="008344C5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CA91E-B045-499C-ACBA-255C3364D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21</Pages>
  <Words>4853</Words>
  <Characters>27668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32457</CharactersWithSpaces>
  <SharedDoc>false</SharedDoc>
  <HLinks>
    <vt:vector size="66" baseType="variant">
      <vt:variant>
        <vt:i4>1900601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_Toc356394580</vt:lpwstr>
      </vt:variant>
      <vt:variant>
        <vt:i4>1179705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_Toc356394579</vt:lpwstr>
      </vt:variant>
      <vt:variant>
        <vt:i4>1179705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_Toc356394578</vt:lpwstr>
      </vt:variant>
      <vt:variant>
        <vt:i4>1179705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_Toc356394577</vt:lpwstr>
      </vt:variant>
      <vt:variant>
        <vt:i4>1179705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_Toc356394576</vt:lpwstr>
      </vt:variant>
      <vt:variant>
        <vt:i4>1179705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_Toc356394575</vt:lpwstr>
      </vt:variant>
      <vt:variant>
        <vt:i4>1179705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_Toc356394574</vt:lpwstr>
      </vt:variant>
      <vt:variant>
        <vt:i4>1179705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_Toc356394573</vt:lpwstr>
      </vt:variant>
      <vt:variant>
        <vt:i4>1179705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_Toc356394572</vt:lpwstr>
      </vt:variant>
      <vt:variant>
        <vt:i4>1179705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_Toc356394571</vt:lpwstr>
      </vt:variant>
      <vt:variant>
        <vt:i4>1179705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_Toc356394570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Pisarev</cp:lastModifiedBy>
  <cp:revision>5</cp:revision>
  <cp:lastPrinted>2014-06-23T17:04:00Z</cp:lastPrinted>
  <dcterms:created xsi:type="dcterms:W3CDTF">2014-06-23T17:02:00Z</dcterms:created>
  <dcterms:modified xsi:type="dcterms:W3CDTF">2014-09-24T17:44:00Z</dcterms:modified>
</cp:coreProperties>
</file>