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BA2609" w:rsidRPr="00BA2609">
        <w:rPr>
          <w:bCs/>
          <w:iCs/>
        </w:rPr>
        <w:t>Освидетельствование, ремонт, допуск к работам портального крана КПМ-10-30-10 ВК и подкрановых путей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BA2609">
        <w:rPr>
          <w:b/>
          <w:sz w:val="28"/>
          <w:szCs w:val="28"/>
        </w:rPr>
        <w:t>работ «</w:t>
      </w:r>
      <w:r w:rsidR="00BA2609" w:rsidRPr="00BA2609">
        <w:rPr>
          <w:b/>
          <w:bCs/>
          <w:iCs/>
          <w:sz w:val="28"/>
          <w:szCs w:val="28"/>
        </w:rPr>
        <w:t>Освидетельствование, ремонт, допуск к работам портального крана КПМ-10-30-10 ВК и подкрановых путей</w:t>
      </w:r>
      <w:r w:rsidR="00BA2609">
        <w:rPr>
          <w:b/>
          <w:bCs/>
          <w:iCs/>
          <w:sz w:val="28"/>
          <w:szCs w:val="28"/>
        </w:rPr>
        <w:t>»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BA2609" w:rsidRPr="00BA2609" w:rsidRDefault="00BA2609" w:rsidP="00BA2609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BA2609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BA2609" w:rsidRPr="00BA2609" w:rsidRDefault="00BA2609" w:rsidP="00BA2609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BA2609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BA2609">
        <w:rPr>
          <w:bCs/>
          <w:sz w:val="28"/>
          <w:szCs w:val="28"/>
          <w:lang w:eastAsia="x-none"/>
        </w:rPr>
        <w:t>«</w:t>
      </w:r>
      <w:r w:rsidRPr="00BA2609">
        <w:rPr>
          <w:bCs/>
          <w:sz w:val="28"/>
          <w:szCs w:val="28"/>
          <w:lang w:val="x-none" w:eastAsia="x-none"/>
        </w:rPr>
        <w:t>Освидетельствование, ремонт, допуск к работам портального крана КПМ-10-30-10 ВК и подкрановых путей»</w:t>
      </w:r>
      <w:r w:rsidRPr="00BA2609">
        <w:rPr>
          <w:bCs/>
          <w:kern w:val="18"/>
          <w:sz w:val="28"/>
          <w:szCs w:val="28"/>
          <w:lang w:val="x-none" w:eastAsia="en-US"/>
        </w:rPr>
        <w:t>.</w:t>
      </w:r>
    </w:p>
    <w:p w:rsidR="00BA2609" w:rsidRPr="00BA2609" w:rsidRDefault="00BA2609" w:rsidP="003B0B5D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BA2609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BA2609">
        <w:rPr>
          <w:bCs/>
          <w:sz w:val="28"/>
          <w:szCs w:val="28"/>
          <w:lang w:eastAsia="x-none"/>
        </w:rPr>
        <w:t xml:space="preserve">- </w:t>
      </w:r>
      <w:r w:rsidRPr="00BA2609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BA2609">
        <w:rPr>
          <w:bCs/>
          <w:sz w:val="28"/>
          <w:szCs w:val="28"/>
          <w:lang w:eastAsia="x-none"/>
        </w:rPr>
        <w:t xml:space="preserve">- </w:t>
      </w:r>
      <w:r w:rsidRPr="00BA2609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BA2609">
        <w:rPr>
          <w:bCs/>
          <w:sz w:val="28"/>
          <w:szCs w:val="28"/>
          <w:lang w:eastAsia="x-none"/>
        </w:rPr>
        <w:t>Пантелеева Валерия Николаевича</w:t>
      </w:r>
      <w:r w:rsidRPr="00BA2609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BA2609">
        <w:rPr>
          <w:bCs/>
          <w:sz w:val="28"/>
          <w:szCs w:val="28"/>
          <w:lang w:eastAsia="x-none"/>
        </w:rPr>
        <w:t>3</w:t>
      </w:r>
      <w:r w:rsidRPr="00BA2609">
        <w:rPr>
          <w:bCs/>
          <w:sz w:val="28"/>
          <w:szCs w:val="28"/>
          <w:lang w:val="x-none" w:eastAsia="x-none"/>
        </w:rPr>
        <w:t>/Ф-0</w:t>
      </w:r>
      <w:r w:rsidRPr="00BA2609">
        <w:rPr>
          <w:bCs/>
          <w:sz w:val="28"/>
          <w:szCs w:val="28"/>
          <w:lang w:eastAsia="x-none"/>
        </w:rPr>
        <w:t>1</w:t>
      </w:r>
      <w:r w:rsidRPr="00BA2609">
        <w:rPr>
          <w:bCs/>
          <w:sz w:val="28"/>
          <w:szCs w:val="28"/>
          <w:lang w:val="x-none" w:eastAsia="x-none"/>
        </w:rPr>
        <w:t xml:space="preserve"> от </w:t>
      </w:r>
      <w:r w:rsidRPr="00BA2609">
        <w:rPr>
          <w:bCs/>
          <w:sz w:val="28"/>
          <w:szCs w:val="28"/>
          <w:lang w:eastAsia="x-none"/>
        </w:rPr>
        <w:t>21</w:t>
      </w:r>
      <w:r w:rsidRPr="00BA2609">
        <w:rPr>
          <w:bCs/>
          <w:sz w:val="28"/>
          <w:szCs w:val="28"/>
          <w:lang w:val="x-none" w:eastAsia="x-none"/>
        </w:rPr>
        <w:t>.0</w:t>
      </w:r>
      <w:r w:rsidRPr="00BA2609">
        <w:rPr>
          <w:bCs/>
          <w:sz w:val="28"/>
          <w:szCs w:val="28"/>
          <w:lang w:eastAsia="x-none"/>
        </w:rPr>
        <w:t>1</w:t>
      </w:r>
      <w:r w:rsidRPr="00BA2609">
        <w:rPr>
          <w:bCs/>
          <w:sz w:val="28"/>
          <w:szCs w:val="28"/>
          <w:lang w:val="x-none" w:eastAsia="x-none"/>
        </w:rPr>
        <w:t>.201</w:t>
      </w:r>
      <w:r w:rsidRPr="00BA2609">
        <w:rPr>
          <w:bCs/>
          <w:sz w:val="28"/>
          <w:szCs w:val="28"/>
          <w:lang w:eastAsia="x-none"/>
        </w:rPr>
        <w:t>4.</w:t>
      </w:r>
    </w:p>
    <w:p w:rsidR="00BA2609" w:rsidRPr="00BA2609" w:rsidRDefault="00BA2609" w:rsidP="003B0B5D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BA2609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BA2609" w:rsidRPr="00BA2609" w:rsidRDefault="00BA2609" w:rsidP="003B0B5D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BA2609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BA2609" w:rsidRPr="00BA2609" w:rsidRDefault="00BA2609" w:rsidP="003B0B5D">
      <w:pPr>
        <w:keepNext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BA2609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BA2609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BA2609">
        <w:rPr>
          <w:bCs/>
          <w:sz w:val="28"/>
          <w:szCs w:val="28"/>
          <w:lang w:eastAsia="x-none"/>
        </w:rPr>
        <w:t xml:space="preserve"> договора;</w:t>
      </w:r>
    </w:p>
    <w:p w:rsidR="00BA2609" w:rsidRPr="00BA2609" w:rsidRDefault="00BA2609" w:rsidP="003B0B5D">
      <w:pPr>
        <w:keepNext/>
        <w:numPr>
          <w:ilvl w:val="0"/>
          <w:numId w:val="17"/>
        </w:numPr>
        <w:spacing w:line="276" w:lineRule="auto"/>
        <w:ind w:left="0" w:firstLine="0"/>
        <w:jc w:val="both"/>
        <w:outlineLvl w:val="2"/>
        <w:rPr>
          <w:bCs/>
          <w:sz w:val="28"/>
          <w:szCs w:val="28"/>
          <w:lang w:eastAsia="x-none"/>
        </w:rPr>
      </w:pPr>
      <w:r w:rsidRPr="00BA2609">
        <w:rPr>
          <w:bCs/>
          <w:sz w:val="28"/>
          <w:szCs w:val="28"/>
          <w:lang w:eastAsia="x-none"/>
        </w:rPr>
        <w:t>окончание - не позднее 30 августа 2014 года.</w:t>
      </w:r>
    </w:p>
    <w:p w:rsidR="00BA2609" w:rsidRPr="00BA2609" w:rsidRDefault="00BA2609" w:rsidP="003B0B5D">
      <w:pPr>
        <w:numPr>
          <w:ilvl w:val="1"/>
          <w:numId w:val="19"/>
        </w:numPr>
        <w:spacing w:line="276" w:lineRule="auto"/>
        <w:rPr>
          <w:sz w:val="28"/>
          <w:szCs w:val="28"/>
          <w:lang w:eastAsia="x-none"/>
        </w:rPr>
      </w:pPr>
      <w:r w:rsidRPr="00BA2609">
        <w:rPr>
          <w:sz w:val="28"/>
          <w:szCs w:val="28"/>
          <w:lang w:eastAsia="x-none"/>
        </w:rPr>
        <w:t>Место выполнения работ</w:t>
      </w:r>
    </w:p>
    <w:p w:rsidR="00BA2609" w:rsidRPr="00BA2609" w:rsidRDefault="00BA2609" w:rsidP="003B0B5D">
      <w:pPr>
        <w:rPr>
          <w:sz w:val="28"/>
          <w:szCs w:val="28"/>
          <w:lang w:eastAsia="x-none"/>
        </w:rPr>
      </w:pPr>
      <w:proofErr w:type="gramStart"/>
      <w:r w:rsidRPr="00BA2609">
        <w:rPr>
          <w:sz w:val="28"/>
          <w:szCs w:val="28"/>
          <w:lang w:eastAsia="x-none"/>
        </w:rPr>
        <w:t>ЗАТО Островной, мурманской области (центр по обращения с радиоактивными отходами – отделение Гремиха СЗЦ «СевРАО» - филиала ФГУП «РосРАО».</w:t>
      </w:r>
      <w:proofErr w:type="gramEnd"/>
    </w:p>
    <w:p w:rsidR="00BA2609" w:rsidRPr="00BA2609" w:rsidRDefault="00BA2609" w:rsidP="003B0B5D">
      <w:pPr>
        <w:keepNext/>
        <w:numPr>
          <w:ilvl w:val="1"/>
          <w:numId w:val="19"/>
        </w:numPr>
        <w:spacing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BA2609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П.2л.12.26.14.2089.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A2609" w:rsidRPr="00BA2609" w:rsidRDefault="00BA2609" w:rsidP="00BA2609">
      <w:pPr>
        <w:keepNext/>
        <w:numPr>
          <w:ilvl w:val="0"/>
          <w:numId w:val="18"/>
        </w:numPr>
        <w:spacing w:after="200" w:line="276" w:lineRule="auto"/>
        <w:ind w:left="709" w:firstLine="0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BA2609">
        <w:rPr>
          <w:b/>
          <w:bCs/>
          <w:iCs/>
          <w:kern w:val="18"/>
          <w:sz w:val="28"/>
          <w:szCs w:val="28"/>
          <w:lang w:eastAsia="en-US"/>
        </w:rPr>
        <w:t>Цель и назначение работ.</w:t>
      </w:r>
    </w:p>
    <w:p w:rsidR="00BA2609" w:rsidRPr="00BA2609" w:rsidRDefault="00BA2609" w:rsidP="00BA2609">
      <w:pPr>
        <w:ind w:firstLine="709"/>
        <w:jc w:val="both"/>
        <w:rPr>
          <w:b/>
          <w:sz w:val="28"/>
          <w:szCs w:val="28"/>
        </w:rPr>
      </w:pPr>
      <w:r w:rsidRPr="00BA2609">
        <w:rPr>
          <w:color w:val="000000"/>
          <w:sz w:val="28"/>
          <w:szCs w:val="28"/>
        </w:rPr>
        <w:t>В результате выполнения работы должен быть освидетельствован, отремонтирован, допущен к работам портальный крана КПМ-10-30-10 ВК и подкрановые пути</w:t>
      </w:r>
      <w:proofErr w:type="gramStart"/>
      <w:r w:rsidRPr="00BA2609">
        <w:rPr>
          <w:sz w:val="28"/>
          <w:szCs w:val="28"/>
        </w:rPr>
        <w:t>.</w:t>
      </w:r>
      <w:proofErr w:type="gramEnd"/>
    </w:p>
    <w:p w:rsidR="00BA2609" w:rsidRPr="00BA2609" w:rsidRDefault="00BA2609" w:rsidP="00BA2609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BA2609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BA2609" w:rsidRPr="00BA2609" w:rsidRDefault="00BA2609" w:rsidP="00BA26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BA2609">
        <w:rPr>
          <w:sz w:val="28"/>
          <w:szCs w:val="28"/>
        </w:rPr>
        <w:t>Работы выполняются в 1 этап и включают в себя:</w:t>
      </w:r>
    </w:p>
    <w:p w:rsidR="00BA2609" w:rsidRPr="00BA2609" w:rsidRDefault="00BA2609" w:rsidP="00BA2609">
      <w:pPr>
        <w:widowControl w:val="0"/>
        <w:numPr>
          <w:ilvl w:val="1"/>
          <w:numId w:val="22"/>
        </w:numPr>
        <w:shd w:val="clear" w:color="auto" w:fill="FFFFFF"/>
        <w:tabs>
          <w:tab w:val="left" w:pos="0"/>
          <w:tab w:val="left" w:pos="1418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Освидетельствование, ремонт, допуск к работам портального крана КПМ-10-30-10 ВК и подкрановых путей.</w:t>
      </w:r>
    </w:p>
    <w:p w:rsidR="00BA2609" w:rsidRPr="00BA2609" w:rsidRDefault="00BA2609" w:rsidP="00BA2609">
      <w:pPr>
        <w:shd w:val="clear" w:color="auto" w:fill="FFFFFF"/>
        <w:tabs>
          <w:tab w:val="num" w:pos="142"/>
        </w:tabs>
        <w:ind w:firstLine="567"/>
        <w:jc w:val="both"/>
        <w:rPr>
          <w:bCs/>
          <w:sz w:val="28"/>
          <w:szCs w:val="28"/>
        </w:rPr>
      </w:pPr>
    </w:p>
    <w:p w:rsidR="00BA2609" w:rsidRPr="00BA2609" w:rsidRDefault="00BA2609" w:rsidP="00BA2609">
      <w:pPr>
        <w:spacing w:after="200" w:line="276" w:lineRule="auto"/>
        <w:ind w:firstLine="709"/>
        <w:rPr>
          <w:sz w:val="28"/>
          <w:szCs w:val="28"/>
        </w:rPr>
      </w:pPr>
      <w:r w:rsidRPr="00BA2609">
        <w:rPr>
          <w:b/>
          <w:color w:val="000000"/>
          <w:sz w:val="28"/>
          <w:szCs w:val="28"/>
        </w:rPr>
        <w:t>4. ТРЕБОВАНИЯ К ТЕХНИЧЕСКИМ РЕЗУЛЬТАТАМ РАБОТЫ</w:t>
      </w:r>
      <w:r w:rsidRPr="00BA2609">
        <w:rPr>
          <w:sz w:val="28"/>
          <w:szCs w:val="28"/>
        </w:rPr>
        <w:t xml:space="preserve">: </w:t>
      </w:r>
    </w:p>
    <w:p w:rsidR="00BA2609" w:rsidRPr="00BA2609" w:rsidRDefault="00BA2609" w:rsidP="00BA2609">
      <w:pPr>
        <w:spacing w:after="200" w:line="276" w:lineRule="auto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При выполнении работ Подрядчик проводит экспертизы промышленной безопасности, при необходимости привлечения сторонней организации к проведению данных работ, подрядчик согласовывает привлечение этой организации с заказчиком. Привлекаемая Подрядчиком организация для проведения экспертизы промышленной безопасности должна иметь все соответствующие разрешительные документы, копии которых Подрядчик передает Заказчику.</w:t>
      </w:r>
    </w:p>
    <w:p w:rsidR="00BA2609" w:rsidRPr="00BA2609" w:rsidRDefault="00BA2609" w:rsidP="00BA2609">
      <w:pPr>
        <w:spacing w:after="200" w:line="276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 w:rsidRPr="00BA2609">
        <w:rPr>
          <w:sz w:val="28"/>
          <w:szCs w:val="28"/>
        </w:rPr>
        <w:t>По результатам работ кран КПМ 10-30-10 ВК должен быть допущен к работам на срок не менее 2 лет с соответствующей экспертизой.</w:t>
      </w:r>
    </w:p>
    <w:p w:rsidR="00BA2609" w:rsidRPr="00BA2609" w:rsidRDefault="00BA2609" w:rsidP="00BA2609">
      <w:pPr>
        <w:spacing w:after="200" w:line="276" w:lineRule="auto"/>
        <w:ind w:firstLine="709"/>
        <w:rPr>
          <w:b/>
          <w:color w:val="000000"/>
          <w:sz w:val="28"/>
          <w:szCs w:val="28"/>
        </w:rPr>
      </w:pPr>
      <w:r w:rsidRPr="00BA2609">
        <w:rPr>
          <w:b/>
          <w:color w:val="000000"/>
          <w:sz w:val="28"/>
          <w:szCs w:val="28"/>
        </w:rPr>
        <w:t>5. ТРЕБОВАНИЯ К КАЧЕСТВУ ВЫПОЛНЕНИЯ РАБОТ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5.1 Контроль процессов сварки и наплавки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Контроль качества сварных соединений осуществить по </w:t>
      </w:r>
      <w:proofErr w:type="gramStart"/>
      <w:r w:rsidRPr="00BA2609">
        <w:rPr>
          <w:sz w:val="28"/>
          <w:szCs w:val="28"/>
        </w:rPr>
        <w:t>ПН</w:t>
      </w:r>
      <w:proofErr w:type="gramEnd"/>
      <w:r w:rsidRPr="00BA2609">
        <w:rPr>
          <w:sz w:val="28"/>
          <w:szCs w:val="28"/>
        </w:rPr>
        <w:t xml:space="preserve"> АЭ Г-7-010-89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Перед началом сварки (наплавки) контролируют: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наличие у сварщика допуска к подлежащим выполнению работам (по удостоверениям);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наличие маркировки и/или записи в журнале учета сварочных работ или маршрутном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(технологическом) паспорте, </w:t>
      </w:r>
      <w:proofErr w:type="gramStart"/>
      <w:r w:rsidRPr="00BA2609">
        <w:rPr>
          <w:sz w:val="28"/>
          <w:szCs w:val="28"/>
        </w:rPr>
        <w:t>подтверждающих</w:t>
      </w:r>
      <w:proofErr w:type="gramEnd"/>
      <w:r w:rsidRPr="00BA2609">
        <w:rPr>
          <w:sz w:val="28"/>
          <w:szCs w:val="28"/>
        </w:rPr>
        <w:t xml:space="preserve"> соответствие сборки установленным требованиям;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чистоту кромок и поверхностей, подготовленных под сварку и наплавку;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марки и сортамент применяемых сварочных материалов;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наличие документов, подтверждающих положительные результаты контроля сварочных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материалов;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дату прокалки покрытых электродов и флюсов или соответствие влажности флюсов и покрытия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электродов установленным требованиям;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соответствие поверхности присадочных материалов требованиям стандартов или технических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условий;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- обеспечение </w:t>
      </w:r>
      <w:proofErr w:type="spellStart"/>
      <w:r w:rsidRPr="00BA2609">
        <w:rPr>
          <w:sz w:val="28"/>
          <w:szCs w:val="28"/>
        </w:rPr>
        <w:t>поддува</w:t>
      </w:r>
      <w:proofErr w:type="spellEnd"/>
      <w:r w:rsidRPr="00BA2609">
        <w:rPr>
          <w:sz w:val="28"/>
          <w:szCs w:val="28"/>
        </w:rPr>
        <w:t xml:space="preserve"> защитного газа (если таковой предусмотрен ПТД);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температуру предварительного подогрева (если таковой предусмотрен ПТД).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В процессе сварки (наплавки) контролируют: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режимы сварки (наплавки) и последовательность выполнения операций (по сварке, зачистке, контролю);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очередность выполнения сварных швов и участков наплавки;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температуру окружающей среды (на расстоянии не менее 2 м от свариваемых или наплавляемых изделий);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температуру подогрева;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соблюдение очередности наложения валиков и слоев;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- температуру металла в зоне сварки деталей из сталей </w:t>
      </w:r>
      <w:proofErr w:type="spellStart"/>
      <w:r w:rsidRPr="00BA2609">
        <w:rPr>
          <w:sz w:val="28"/>
          <w:szCs w:val="28"/>
        </w:rPr>
        <w:t>аустенитного</w:t>
      </w:r>
      <w:proofErr w:type="spellEnd"/>
      <w:r w:rsidRPr="00BA2609">
        <w:rPr>
          <w:sz w:val="28"/>
          <w:szCs w:val="28"/>
        </w:rPr>
        <w:t xml:space="preserve"> класса;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выполнение специальных требований по сварке деталей из разнородных и двухслойных сталей;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толщину первого слоя и суммарную толщину наплавляемого антикоррозионного покрытия.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Корневая часть шва сварных соединений I и </w:t>
      </w:r>
      <w:proofErr w:type="spellStart"/>
      <w:r w:rsidRPr="00BA2609">
        <w:rPr>
          <w:sz w:val="28"/>
          <w:szCs w:val="28"/>
        </w:rPr>
        <w:t>Iн</w:t>
      </w:r>
      <w:proofErr w:type="spellEnd"/>
      <w:r w:rsidRPr="00BA2609">
        <w:rPr>
          <w:sz w:val="28"/>
          <w:szCs w:val="28"/>
        </w:rPr>
        <w:t xml:space="preserve"> категорий деталей из железоникелевых сплавов </w:t>
      </w:r>
      <w:proofErr w:type="gramStart"/>
      <w:r w:rsidRPr="00BA2609">
        <w:rPr>
          <w:sz w:val="28"/>
          <w:szCs w:val="28"/>
        </w:rPr>
        <w:t>при</w:t>
      </w:r>
      <w:proofErr w:type="gramEnd"/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номинальной толщине стенки в месте сварки более 6 мм и из сталей при номинальной толщине стенки </w:t>
      </w:r>
      <w:proofErr w:type="gramStart"/>
      <w:r w:rsidRPr="00BA2609">
        <w:rPr>
          <w:sz w:val="28"/>
          <w:szCs w:val="28"/>
        </w:rPr>
        <w:t>в</w:t>
      </w:r>
      <w:proofErr w:type="gramEnd"/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2609">
        <w:rPr>
          <w:sz w:val="28"/>
          <w:szCs w:val="28"/>
        </w:rPr>
        <w:t>местах</w:t>
      </w:r>
      <w:proofErr w:type="gramEnd"/>
      <w:r w:rsidRPr="00BA2609">
        <w:rPr>
          <w:sz w:val="28"/>
          <w:szCs w:val="28"/>
        </w:rPr>
        <w:t xml:space="preserve"> сварки более 20 мм должна быть подвергнута радиографическому контролю. При этом нормы оценки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качества принимаются как для полностью выполненного сварного соединения.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При сварке встык с односторонней разделкой кромок радиографический контроль следует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проводить после заварки корневой части шва с двух сторон.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В сварных соединениях, подвергающихся последующей механической обработке с полным удалением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корня шва, а также в случаях, когда не допускается перерыв и/или охлаждение в процессе сварки, имеется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опасность недопустимого деформирования или разрушения узла при транспортировке к месту контроля,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указанный контроль проводить не требуется.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Примечание. Под корневой частью шва понимается примыкающая к притуплению кромок зона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сварного соединения толщиной до 30 % общей толщины выполненного шва, но не более 20 мм.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Требования к контролю предварительного и сопутствующего подогрева, а также температуры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металла в зоне сварки деталей из сталей </w:t>
      </w:r>
      <w:proofErr w:type="spellStart"/>
      <w:r w:rsidRPr="00BA2609">
        <w:rPr>
          <w:sz w:val="28"/>
          <w:szCs w:val="28"/>
        </w:rPr>
        <w:t>аустенитного</w:t>
      </w:r>
      <w:proofErr w:type="spellEnd"/>
      <w:r w:rsidRPr="00BA2609">
        <w:rPr>
          <w:sz w:val="28"/>
          <w:szCs w:val="28"/>
        </w:rPr>
        <w:t xml:space="preserve"> класса, точки измерений и методы регистрации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температур должны указываться в ПКД.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После окончания сварки (наплавки) контролируют: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наличие и правильность маркировки выполненных сварных швов и наплавок;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соответствие условий пребывания выполненных сварных соединений и наплавок с момента окончания сварки (наплавки) до начала термической обработки (включая условия термического отдыха, если таковой предусмотрен).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5.2 Контроль выполнения покрасочных работ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Выполнение работы должно контролироваться на всех этапах. Контроль должен осуществляться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квалифицированным и опытным персоналом. Подрядчик сам несет ответственность за выполнение контроля,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но также рекомендуется дополнительный контроль, осуществляемый клиентом, даже для работ по антикоррозионной защите, выполняемых в мастерских.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Если применяются материалы для покрытия, с которыми подрядчик незнаком, следует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проконсультироваться с производителем этого материала для покрытия.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Уровень контроля будет зависеть от типа и важности проекта, степени сложности работы, местных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условий и типа покрытия и его предположительного срока годности. Этот контроль требует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соответствующих технических знаний и опыта.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Инструменты для измерения и контроля Необходимо применять инструменты и оборудование,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2609">
        <w:rPr>
          <w:sz w:val="28"/>
          <w:szCs w:val="28"/>
        </w:rPr>
        <w:t>указанные</w:t>
      </w:r>
      <w:proofErr w:type="gramEnd"/>
      <w:r w:rsidRPr="00BA2609">
        <w:rPr>
          <w:sz w:val="28"/>
          <w:szCs w:val="28"/>
        </w:rPr>
        <w:t xml:space="preserve"> в инструкциях производителя. Используемые инструменты необходимо поверять, калибровать 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обслуживать регулярно, а результаты необходимо записывать.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Проверка окрасочного покрытия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Покрытия должно быть проверено на соответствие спецификациям, например: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визуальной оценкой, однородность, цвет, такие дефекты как пропуски, складки, кратеры,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воздушные пузырьки, отслаивания, трещины и затемнения;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с помощью инструментов в соответствии со следующими характеристиками сухой пленки: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толщина сухой пленки (обычно неразрушающими методами (</w:t>
      </w:r>
      <w:proofErr w:type="gramStart"/>
      <w:r w:rsidRPr="00BA2609">
        <w:rPr>
          <w:sz w:val="28"/>
          <w:szCs w:val="28"/>
        </w:rPr>
        <w:t>см</w:t>
      </w:r>
      <w:proofErr w:type="gramEnd"/>
      <w:r w:rsidRPr="00BA2609">
        <w:rPr>
          <w:sz w:val="28"/>
          <w:szCs w:val="28"/>
        </w:rPr>
        <w:t xml:space="preserve"> ISO 2808))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адгезия (разрушающими методами (</w:t>
      </w:r>
      <w:proofErr w:type="gramStart"/>
      <w:r w:rsidRPr="00BA2609">
        <w:rPr>
          <w:sz w:val="28"/>
          <w:szCs w:val="28"/>
        </w:rPr>
        <w:t>см</w:t>
      </w:r>
      <w:proofErr w:type="gramEnd"/>
      <w:r w:rsidRPr="00BA2609">
        <w:rPr>
          <w:sz w:val="28"/>
          <w:szCs w:val="28"/>
        </w:rPr>
        <w:t xml:space="preserve"> ISO 2409 или ISO 4624))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пористость: проверяется высоковольтными детекторами.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Для измерения толщины сухой пленки, заинтересованные стороны должны иметь соглашение о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2609">
        <w:rPr>
          <w:sz w:val="28"/>
          <w:szCs w:val="28"/>
        </w:rPr>
        <w:t>следующем</w:t>
      </w:r>
      <w:proofErr w:type="gramEnd"/>
      <w:r w:rsidRPr="00BA2609">
        <w:rPr>
          <w:sz w:val="28"/>
          <w:szCs w:val="28"/>
        </w:rPr>
        <w:t>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Методы и инструменты для измерения, которые будут использовать, как принять во внимание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профиль поверхности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Образец, как и сколько измерений должно быть сделано для каждого типа поверхности.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- Как сообщать о результатах и как сравнивать их с принятыми критериями.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Толщина сухой пленки краски (включая номинальную и максимальную толщину) должна быть проверена </w:t>
      </w:r>
      <w:proofErr w:type="gramStart"/>
      <w:r w:rsidRPr="00BA2609">
        <w:rPr>
          <w:sz w:val="28"/>
          <w:szCs w:val="28"/>
        </w:rPr>
        <w:t>в</w:t>
      </w:r>
      <w:proofErr w:type="gramEnd"/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каждой критической стадии, а также после нанесения всей системы покрытия. Критическая стадия -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например, когда имеется замена в ответственности за окрасочные работы или когда долгое время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протекает между нанесением грунтовочных и последующих слоев покрытия.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5.3 Пожарная безопасность: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2609">
        <w:rPr>
          <w:sz w:val="28"/>
          <w:szCs w:val="28"/>
        </w:rPr>
        <w:t>Пожарная</w:t>
      </w:r>
      <w:proofErr w:type="gramEnd"/>
      <w:r w:rsidRPr="00BA2609">
        <w:rPr>
          <w:sz w:val="28"/>
          <w:szCs w:val="28"/>
        </w:rPr>
        <w:t xml:space="preserve"> и электробезопасность на месте проведения работ должны соответствовать настоящим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типовым правилам, действующим в сфере строительства.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Операторы обязаны выполнять существующие правила по технике безопасности при производстве работ,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для обеспечения выполнения мероприятий по защите труда.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5.4 Пожарная безопасность при электросварочных работах: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Все сварочные работы проводить согласно ППБ при проведении сварочных и других огневых работ на объектах народного хозяйства.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Электросварочные работы в зданиях должны производиться </w:t>
      </w:r>
      <w:proofErr w:type="gramStart"/>
      <w:r w:rsidRPr="00BA2609">
        <w:rPr>
          <w:sz w:val="28"/>
          <w:szCs w:val="28"/>
        </w:rPr>
        <w:t>в</w:t>
      </w:r>
      <w:proofErr w:type="gramEnd"/>
      <w:r w:rsidRPr="00BA2609">
        <w:rPr>
          <w:sz w:val="28"/>
          <w:szCs w:val="28"/>
        </w:rPr>
        <w:t xml:space="preserve"> специально </w:t>
      </w:r>
      <w:proofErr w:type="gramStart"/>
      <w:r w:rsidRPr="00BA2609">
        <w:rPr>
          <w:sz w:val="28"/>
          <w:szCs w:val="28"/>
        </w:rPr>
        <w:t>для</w:t>
      </w:r>
      <w:proofErr w:type="gramEnd"/>
      <w:r w:rsidRPr="00BA2609">
        <w:rPr>
          <w:sz w:val="28"/>
          <w:szCs w:val="28"/>
        </w:rPr>
        <w:t xml:space="preserve"> этого отведенных вентилируемых помещениях.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Место для проведения сварочных работ в сгораемых помещениях должно быть ограждено сплошной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перегородкой из несгораемого материала, причем высота перегородки должна быть не менее 2,5 м, а зазор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между перегородкой и полом не более 5 см.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Полы в помещениях, где производятся сварочные работы, должны быть выполнены </w:t>
      </w:r>
      <w:proofErr w:type="gramStart"/>
      <w:r w:rsidRPr="00BA2609">
        <w:rPr>
          <w:sz w:val="28"/>
          <w:szCs w:val="28"/>
        </w:rPr>
        <w:t>из</w:t>
      </w:r>
      <w:proofErr w:type="gramEnd"/>
      <w:r w:rsidRPr="00BA2609">
        <w:rPr>
          <w:sz w:val="28"/>
          <w:szCs w:val="28"/>
        </w:rPr>
        <w:t xml:space="preserve"> несгораемых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материалов. Допускается устройство деревянных торцовых полов на несгораемом основании в помещениях,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2609">
        <w:rPr>
          <w:sz w:val="28"/>
          <w:szCs w:val="28"/>
        </w:rPr>
        <w:t>в</w:t>
      </w:r>
      <w:proofErr w:type="gramEnd"/>
      <w:r w:rsidRPr="00BA2609">
        <w:rPr>
          <w:sz w:val="28"/>
          <w:szCs w:val="28"/>
        </w:rPr>
        <w:t xml:space="preserve"> которых производится сварка без предварительного нагрева деталей.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Установки для электрической сварки должны удовлетворять требованиям </w:t>
      </w:r>
      <w:proofErr w:type="gramStart"/>
      <w:r w:rsidRPr="00BA2609">
        <w:rPr>
          <w:sz w:val="28"/>
          <w:szCs w:val="28"/>
        </w:rPr>
        <w:t>соответствующих</w:t>
      </w:r>
      <w:proofErr w:type="gramEnd"/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разделов Правил устройства электроустановок, Правил технической эксплуатации электроустановок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потребителей и Правил техники безопасности при эксплуатации электроустановок потребителей с теми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дополнениями, которые приведены в настоящих Правилах.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Электросварочные установки должны иметь техническую документацию, поясняющую назначение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агрегатов, аппаратуры, приборов, и электрические схемы.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Установка для ручной сварки должна снабжаться рубильником или контактором (для подключения источника сварочного тока к распределительной цеховой сети), предохранителем (в первичной цепи) 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Однопостовые сварочные двигатели-генераторы и трансформаторы защищаются предохранителями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только со стороны питающей сети. Установка предохранителей в цепи сварочного тока не требуется.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На временных местах сварки для проведения электросварочных работ, связанных с частыми перемещениями сварочных установок, должны применяться механически прочные шланговые кабели.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Применение шнуров всех марок для подключения источника сварочного тока к распределительной цеховой сети не допускается. В качестве питающих проводов, как исключение, могут быть использованы провода марки </w:t>
      </w:r>
      <w:proofErr w:type="gramStart"/>
      <w:r w:rsidRPr="00BA2609">
        <w:rPr>
          <w:sz w:val="28"/>
          <w:szCs w:val="28"/>
        </w:rPr>
        <w:t>ПР</w:t>
      </w:r>
      <w:proofErr w:type="gramEnd"/>
      <w:r w:rsidRPr="00BA2609">
        <w:rPr>
          <w:sz w:val="28"/>
          <w:szCs w:val="28"/>
        </w:rPr>
        <w:t>, ПРГ, при условии усиления их изоляции и защиты от механических повреждений.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Для подвода тока к электроду должны применяться изолированные гибкие провода (например, марки ПРГД) в защитном шланге для средних условий работы. При использовании менее гибких проводов следует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присоединять их к </w:t>
      </w:r>
      <w:proofErr w:type="spellStart"/>
      <w:r w:rsidRPr="00BA2609">
        <w:rPr>
          <w:sz w:val="28"/>
          <w:szCs w:val="28"/>
        </w:rPr>
        <w:t>электрододержателю</w:t>
      </w:r>
      <w:proofErr w:type="spellEnd"/>
      <w:r w:rsidRPr="00BA2609">
        <w:rPr>
          <w:sz w:val="28"/>
          <w:szCs w:val="28"/>
        </w:rPr>
        <w:t xml:space="preserve"> через надставку из гибкого шлангового провода или кабеля длиной не менее 3 метров.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Для предотвращения загораний электропроводов и сварочного оборудования должен быть осуществлен правильный выбор сечения проводов по величине рабочего напряжения и плавких вставок </w:t>
      </w:r>
      <w:proofErr w:type="spellStart"/>
      <w:r w:rsidRPr="00BA2609">
        <w:rPr>
          <w:sz w:val="28"/>
          <w:szCs w:val="28"/>
        </w:rPr>
        <w:t>электропредохранителей</w:t>
      </w:r>
      <w:proofErr w:type="spellEnd"/>
      <w:r w:rsidRPr="00BA2609">
        <w:rPr>
          <w:sz w:val="28"/>
          <w:szCs w:val="28"/>
        </w:rPr>
        <w:t xml:space="preserve"> на предельно допустимый номинальный ток.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Запрещается прокладывать голые или с плохой изоляцией провода, а также применять кустарные </w:t>
      </w:r>
      <w:proofErr w:type="spellStart"/>
      <w:r w:rsidRPr="00BA2609">
        <w:rPr>
          <w:sz w:val="28"/>
          <w:szCs w:val="28"/>
        </w:rPr>
        <w:t>электропредохранители</w:t>
      </w:r>
      <w:proofErr w:type="spellEnd"/>
      <w:r w:rsidRPr="00BA2609">
        <w:rPr>
          <w:sz w:val="28"/>
          <w:szCs w:val="28"/>
        </w:rPr>
        <w:t xml:space="preserve"> и провода, не обеспечивающие прохождения сварочного тока требуемой величины.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Соединения жил сварочных проводов нужно производить при помощи прессования, сварки, пайки, специальных зажимов. Подключение электропроводов к </w:t>
      </w:r>
      <w:proofErr w:type="spellStart"/>
      <w:r w:rsidRPr="00BA2609">
        <w:rPr>
          <w:sz w:val="28"/>
          <w:szCs w:val="28"/>
        </w:rPr>
        <w:t>электродержателю</w:t>
      </w:r>
      <w:proofErr w:type="spellEnd"/>
      <w:r w:rsidRPr="00BA2609">
        <w:rPr>
          <w:sz w:val="28"/>
          <w:szCs w:val="28"/>
        </w:rPr>
        <w:t>, свариваемому изделию и сварочному аппарату производится при помощи медных кабельных наконечников, скрепленных болтами с шайбами.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Провода, подключенные к сварочным аппаратам, распределительным щитам и другому оборудованию, а также к местам сварочных работ, должны быть надежно изолированы и в необходимых местах защищены от действия высокой температуры, механических повреждений и химических воздействий.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Кабели (электропроводка) электросварочных машин должны располагаться от трубопроводов кислорода на расстоянии не менее 0,5 м, а от трубопроводов ацетилена и других горючих газов - не менее 1 м. В отдельных случаях допускается сокращение указанных расстояний вдвое при условии заключения газопровода в защитную металлическую трубу.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В качестве обратного провода, соединяющего свариваемое изделие с источником сварочного тока, могут служить стальные шины любого профиля, сварочные плиты, стеллажи и сама свариваемая конструкция, при условии, если их сечение обеспечивает безопасное, по условиям нагрева, протекание сварочного тока.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Соединение между собой отдельных элементов, используемых в качестве обратного провода, должно выполняться весьма тщательно (с помощью болтов, струбцин или зажимов).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Использование в качестве обратного провода внутренних железнодорожных путей, сети заземления или </w:t>
      </w:r>
      <w:proofErr w:type="spellStart"/>
      <w:r w:rsidRPr="00BA2609">
        <w:rPr>
          <w:sz w:val="28"/>
          <w:szCs w:val="28"/>
        </w:rPr>
        <w:t>зануления</w:t>
      </w:r>
      <w:proofErr w:type="spellEnd"/>
      <w:r w:rsidRPr="00BA2609">
        <w:rPr>
          <w:sz w:val="28"/>
          <w:szCs w:val="28"/>
        </w:rPr>
        <w:t>, а также металлических конструкций зданий, коммуникаций и технологического оборудования запрещается. Сварка должна производиться с применением двух проводов.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При проведении электросварочных работ в пожароопасных помещениях и сооружениях обратный провод от свариваемого изделия до источника тока выполняется только изолированным проводом, причем по качеству изоляции он не должен уступать прямому проводу, присоединяемому к </w:t>
      </w:r>
      <w:proofErr w:type="spellStart"/>
      <w:r w:rsidRPr="00BA2609">
        <w:rPr>
          <w:sz w:val="28"/>
          <w:szCs w:val="28"/>
        </w:rPr>
        <w:t>электрододержателю</w:t>
      </w:r>
      <w:proofErr w:type="spellEnd"/>
      <w:r w:rsidRPr="00BA2609">
        <w:rPr>
          <w:sz w:val="28"/>
          <w:szCs w:val="28"/>
        </w:rPr>
        <w:t>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BA2609">
        <w:rPr>
          <w:sz w:val="28"/>
          <w:szCs w:val="28"/>
        </w:rPr>
        <w:t>Электрододержатели</w:t>
      </w:r>
      <w:proofErr w:type="spellEnd"/>
      <w:r w:rsidRPr="00BA2609">
        <w:rPr>
          <w:sz w:val="28"/>
          <w:szCs w:val="28"/>
        </w:rPr>
        <w:t xml:space="preserve"> для ручной сварки должны быть минимального веса и иметь конструкцию, обеспечивающую надежное зажатие и быструю смену электродов, а также исключающую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предметы. Рукоятка </w:t>
      </w:r>
      <w:proofErr w:type="spellStart"/>
      <w:r w:rsidRPr="00BA2609">
        <w:rPr>
          <w:sz w:val="28"/>
          <w:szCs w:val="28"/>
        </w:rPr>
        <w:t>электрододержателя</w:t>
      </w:r>
      <w:proofErr w:type="spellEnd"/>
      <w:r w:rsidRPr="00BA2609">
        <w:rPr>
          <w:sz w:val="28"/>
          <w:szCs w:val="28"/>
        </w:rPr>
        <w:t xml:space="preserve"> должна быть сделана из несгораемого диэлектрического и теплоизолирующего материала.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Электроды, применяемые при сварке, должны соответствовать ГОСТу и быть заводского изготовления, а также должны соответствовать номинальной величине сварочного тока.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При смене электродов в процессе сварки их остатки (огарки) следует выбрасывать в специальный металлический ящик, устанавливаемый у места сварочных работ.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Электросварочная установка на все время работы должна быть заземлена. Помимо заземления основного электросварочного оборудования в сварочных установках надлежит непосредственно заземлять тот зажим вторичной обмотки сварочного трансформатора, к которому присоединяется проводник, идущий к изделию (обратный проводник).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Сварочные генераторы и трансформаторы, а также все вспомогательные приборы и аппараты к ним, устанавливаемые на открытом воздухе, должны быть в закрытом или защищенном исполнении с </w:t>
      </w:r>
      <w:proofErr w:type="spellStart"/>
      <w:r w:rsidRPr="00BA2609">
        <w:rPr>
          <w:sz w:val="28"/>
          <w:szCs w:val="28"/>
        </w:rPr>
        <w:t>противосыростной</w:t>
      </w:r>
      <w:proofErr w:type="spellEnd"/>
      <w:r w:rsidRPr="00BA2609">
        <w:rPr>
          <w:sz w:val="28"/>
          <w:szCs w:val="28"/>
        </w:rPr>
        <w:t xml:space="preserve"> изоляцией и устанавливаться под навесами из несгораемых материалов.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Чистка агрегата и пусковой аппаратуры производится ежедневно после окончания работы. Ремонт сварочного оборудования должен производиться в соответствии с установленными правилами производства планово-предупредительных ремонтов.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Температура нагрева отдельных частей сварочного агрегата (трансформаторов, подшипников, щеток, контактов вторичной цепи и др.) не должна превышать 750.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Сопротивление изоляции токоведущих частей сварочной цепи должно быть не ниже 0,5 мегом.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Изоляция должна проверяться не реже 1 раза в 3 месяца (при автоматической сварке под слоем флюса – 1 раз в месяц) и должна выдерживать напряжение 2 </w:t>
      </w:r>
      <w:proofErr w:type="spellStart"/>
      <w:r w:rsidRPr="00BA2609">
        <w:rPr>
          <w:sz w:val="28"/>
          <w:szCs w:val="28"/>
        </w:rPr>
        <w:t>кВ</w:t>
      </w:r>
      <w:proofErr w:type="spellEnd"/>
      <w:r w:rsidRPr="00BA2609">
        <w:rPr>
          <w:sz w:val="28"/>
          <w:szCs w:val="28"/>
        </w:rPr>
        <w:t xml:space="preserve"> в течение 5 мин.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Запрещается оставлять горелки без присмотра при горении дуги.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BA2609">
        <w:rPr>
          <w:b/>
          <w:color w:val="000000"/>
          <w:sz w:val="28"/>
          <w:szCs w:val="28"/>
        </w:rPr>
        <w:t>6. ТРЕБОВАНИЯ И УСЛОВИЯ К РАЗРАБОТКЕ ПРИРОДООХРАННЫХ МЕР И МЕРОПРИЯТИЙ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 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Выполнение общестроительных и специальных работ выполнять строго в соответствии со </w:t>
      </w:r>
      <w:proofErr w:type="spellStart"/>
      <w:r w:rsidRPr="00BA2609">
        <w:rPr>
          <w:sz w:val="28"/>
          <w:szCs w:val="28"/>
        </w:rPr>
        <w:t>СниП</w:t>
      </w:r>
      <w:proofErr w:type="spellEnd"/>
      <w:r w:rsidRPr="00BA2609">
        <w:rPr>
          <w:sz w:val="28"/>
          <w:szCs w:val="28"/>
        </w:rPr>
        <w:t xml:space="preserve"> III-4-80, </w:t>
      </w:r>
      <w:proofErr w:type="spellStart"/>
      <w:r w:rsidRPr="00BA2609">
        <w:rPr>
          <w:sz w:val="28"/>
          <w:szCs w:val="28"/>
        </w:rPr>
        <w:t>СниП</w:t>
      </w:r>
      <w:proofErr w:type="spellEnd"/>
      <w:r w:rsidRPr="00BA2609">
        <w:rPr>
          <w:sz w:val="28"/>
          <w:szCs w:val="28"/>
        </w:rPr>
        <w:t xml:space="preserve"> 3.05.07-85. Кроме того, на строительстве необходимо соблюдать правила пожарной безопасности в Российской Федерации ППБ-01-93 (1995 года). Не допускается загрязнение рабочих мест и территории комплекса отходами масел, нефтепродуктов, ветошью, выхлопными газами.</w:t>
      </w:r>
    </w:p>
    <w:p w:rsidR="00BA2609" w:rsidRPr="00BA2609" w:rsidRDefault="00BA2609" w:rsidP="00BA26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Предусмотренные проектом мероприятия не оказывают отрицательного воздействия на окружающую среду в процессе строительства и эксплуатации. Проектируемые объекты не имеют источников выброса вредных веществ в атмосферу и источников загрязнения почвы.</w:t>
      </w:r>
    </w:p>
    <w:p w:rsidR="00BA2609" w:rsidRPr="00BA2609" w:rsidRDefault="00BA2609" w:rsidP="00BA2609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  <w:sz w:val="28"/>
          <w:szCs w:val="28"/>
        </w:rPr>
      </w:pPr>
    </w:p>
    <w:p w:rsidR="00BA2609" w:rsidRPr="00BA2609" w:rsidRDefault="00BA2609" w:rsidP="00BA2609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BA2609">
        <w:rPr>
          <w:b/>
          <w:bCs/>
          <w:iCs/>
          <w:kern w:val="18"/>
          <w:sz w:val="28"/>
          <w:szCs w:val="28"/>
          <w:lang w:eastAsia="en-US"/>
        </w:rPr>
        <w:t>7. Порядок контроля и приемки.</w:t>
      </w:r>
    </w:p>
    <w:p w:rsidR="00BA2609" w:rsidRPr="00BA2609" w:rsidRDefault="00BA2609" w:rsidP="00BA2609">
      <w:pPr>
        <w:widowControl w:val="0"/>
        <w:numPr>
          <w:ilvl w:val="0"/>
          <w:numId w:val="17"/>
        </w:numPr>
        <w:spacing w:after="200" w:line="276" w:lineRule="auto"/>
        <w:ind w:left="0"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BA2609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BA2609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BA2609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BA2609">
        <w:rPr>
          <w:bCs/>
          <w:kern w:val="18"/>
          <w:sz w:val="28"/>
          <w:szCs w:val="28"/>
          <w:lang w:eastAsia="en-US"/>
        </w:rPr>
        <w:t>Д</w:t>
      </w:r>
      <w:r w:rsidRPr="00BA2609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BA2609">
        <w:rPr>
          <w:bCs/>
          <w:kern w:val="18"/>
          <w:sz w:val="28"/>
          <w:szCs w:val="28"/>
          <w:lang w:eastAsia="en-US"/>
        </w:rPr>
        <w:t>Подрядчиком</w:t>
      </w:r>
      <w:r w:rsidRPr="00BA2609">
        <w:rPr>
          <w:bCs/>
          <w:kern w:val="18"/>
          <w:sz w:val="28"/>
          <w:szCs w:val="28"/>
          <w:lang w:val="x-none" w:eastAsia="en-US"/>
        </w:rPr>
        <w:t>.</w:t>
      </w:r>
    </w:p>
    <w:p w:rsidR="00BA2609" w:rsidRPr="00BA2609" w:rsidRDefault="00BA2609" w:rsidP="00BA2609">
      <w:pPr>
        <w:widowControl w:val="0"/>
        <w:numPr>
          <w:ilvl w:val="0"/>
          <w:numId w:val="17"/>
        </w:numPr>
        <w:spacing w:after="200" w:line="276" w:lineRule="auto"/>
        <w:ind w:left="0" w:firstLine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BA2609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BA2609">
        <w:rPr>
          <w:snapToGrid w:val="0"/>
          <w:sz w:val="28"/>
          <w:szCs w:val="28"/>
          <w:lang w:eastAsia="x-none"/>
        </w:rPr>
        <w:t xml:space="preserve">- </w:t>
      </w:r>
      <w:r w:rsidRPr="00BA2609">
        <w:rPr>
          <w:snapToGrid w:val="0"/>
          <w:sz w:val="28"/>
          <w:szCs w:val="28"/>
          <w:lang w:val="x-none" w:eastAsia="x-none"/>
        </w:rPr>
        <w:t>Акт</w:t>
      </w:r>
      <w:r w:rsidRPr="00BA2609">
        <w:rPr>
          <w:snapToGrid w:val="0"/>
          <w:sz w:val="28"/>
          <w:szCs w:val="28"/>
          <w:lang w:eastAsia="x-none"/>
        </w:rPr>
        <w:t>а</w:t>
      </w:r>
      <w:r w:rsidRPr="00BA2609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BA2609">
        <w:rPr>
          <w:snapToGrid w:val="0"/>
          <w:sz w:val="28"/>
          <w:szCs w:val="28"/>
          <w:lang w:eastAsia="x-none"/>
        </w:rPr>
        <w:t>ых</w:t>
      </w:r>
      <w:r w:rsidRPr="00BA2609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BA2609">
        <w:rPr>
          <w:snapToGrid w:val="0"/>
          <w:sz w:val="28"/>
          <w:szCs w:val="28"/>
          <w:lang w:eastAsia="x-none"/>
        </w:rPr>
        <w:t>- КС-2, КС-3;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BA2609">
        <w:rPr>
          <w:snapToGrid w:val="0"/>
          <w:sz w:val="28"/>
          <w:szCs w:val="28"/>
          <w:lang w:eastAsia="x-none"/>
        </w:rPr>
        <w:t xml:space="preserve">- </w:t>
      </w:r>
      <w:r w:rsidRPr="00BA2609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BA2609">
        <w:rPr>
          <w:snapToGrid w:val="0"/>
          <w:sz w:val="28"/>
          <w:szCs w:val="28"/>
          <w:lang w:eastAsia="x-none"/>
        </w:rPr>
        <w:t xml:space="preserve">выполненных </w:t>
      </w:r>
      <w:r w:rsidRPr="00BA2609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BA2609">
        <w:rPr>
          <w:snapToGrid w:val="0"/>
          <w:sz w:val="28"/>
          <w:szCs w:val="28"/>
          <w:lang w:eastAsia="x-none"/>
        </w:rPr>
        <w:t xml:space="preserve"> Заказчика</w:t>
      </w:r>
      <w:r w:rsidRPr="00BA2609">
        <w:rPr>
          <w:snapToGrid w:val="0"/>
          <w:sz w:val="28"/>
          <w:szCs w:val="28"/>
          <w:lang w:val="x-none" w:eastAsia="x-none"/>
        </w:rPr>
        <w:t>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BA2609">
        <w:rPr>
          <w:snapToGrid w:val="0"/>
          <w:sz w:val="28"/>
          <w:szCs w:val="28"/>
          <w:lang w:eastAsia="x-none"/>
        </w:rPr>
        <w:t>- Разработанной документации в письменном виде 02 экз.;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BA2609">
        <w:rPr>
          <w:snapToGrid w:val="0"/>
          <w:sz w:val="28"/>
          <w:szCs w:val="28"/>
          <w:lang w:eastAsia="x-none"/>
        </w:rPr>
        <w:t>- Разработанной документации (электронная копия) 01 экз.;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BA2609">
        <w:rPr>
          <w:snapToGrid w:val="0"/>
          <w:sz w:val="28"/>
          <w:szCs w:val="28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BA2609">
        <w:rPr>
          <w:snapToGrid w:val="0"/>
          <w:sz w:val="28"/>
          <w:szCs w:val="28"/>
          <w:lang w:eastAsia="x-none"/>
        </w:rPr>
        <w:t>экз</w:t>
      </w:r>
      <w:proofErr w:type="spellEnd"/>
      <w:proofErr w:type="gramEnd"/>
      <w:r w:rsidRPr="00BA2609">
        <w:rPr>
          <w:snapToGrid w:val="0"/>
          <w:sz w:val="28"/>
          <w:szCs w:val="28"/>
          <w:lang w:eastAsia="x-none"/>
        </w:rPr>
        <w:t>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BA2609">
        <w:rPr>
          <w:snapToGrid w:val="0"/>
          <w:sz w:val="28"/>
          <w:szCs w:val="28"/>
          <w:lang w:eastAsia="x-none"/>
        </w:rPr>
        <w:t>- Оригинала</w:t>
      </w:r>
      <w:r w:rsidRPr="00BA2609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BA2609">
        <w:rPr>
          <w:snapToGrid w:val="0"/>
          <w:sz w:val="28"/>
          <w:szCs w:val="28"/>
          <w:lang w:eastAsia="x-none"/>
        </w:rPr>
        <w:t>;</w:t>
      </w:r>
    </w:p>
    <w:p w:rsidR="00BA2609" w:rsidRPr="00BA2609" w:rsidRDefault="00BA2609" w:rsidP="00BA2609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BA2609">
        <w:rPr>
          <w:snapToGrid w:val="0"/>
          <w:sz w:val="28"/>
          <w:szCs w:val="28"/>
          <w:lang w:eastAsia="x-none"/>
        </w:rPr>
        <w:t>- Фотоматериалы.</w:t>
      </w:r>
    </w:p>
    <w:p w:rsidR="00BA2609" w:rsidRPr="00BA2609" w:rsidRDefault="00BA2609" w:rsidP="00BA2609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>
        <w:rPr>
          <w:b/>
          <w:bCs/>
          <w:iCs/>
          <w:kern w:val="18"/>
          <w:sz w:val="28"/>
          <w:szCs w:val="28"/>
          <w:lang w:eastAsia="en-US"/>
        </w:rPr>
        <w:t>8</w:t>
      </w:r>
      <w:r w:rsidRPr="00BA2609">
        <w:rPr>
          <w:b/>
          <w:bCs/>
          <w:iCs/>
          <w:kern w:val="18"/>
          <w:sz w:val="28"/>
          <w:szCs w:val="28"/>
          <w:lang w:eastAsia="en-US"/>
        </w:rPr>
        <w:t>. Требования к исполнителю работ.</w:t>
      </w:r>
    </w:p>
    <w:p w:rsidR="00BA2609" w:rsidRPr="00BA2609" w:rsidRDefault="00BA2609" w:rsidP="00BA2609">
      <w:pPr>
        <w:ind w:firstLine="709"/>
        <w:jc w:val="both"/>
        <w:rPr>
          <w:color w:val="000000"/>
          <w:sz w:val="28"/>
          <w:szCs w:val="28"/>
        </w:rPr>
      </w:pPr>
      <w:r w:rsidRPr="00BA2609">
        <w:rPr>
          <w:color w:val="000000"/>
          <w:sz w:val="28"/>
          <w:szCs w:val="28"/>
        </w:rPr>
        <w:t xml:space="preserve">Наличие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</w:t>
      </w:r>
      <w:r w:rsidRPr="00BA2609">
        <w:rPr>
          <w:bCs/>
          <w:color w:val="000000"/>
          <w:sz w:val="28"/>
          <w:szCs w:val="28"/>
        </w:rPr>
        <w:t>(</w:t>
      </w:r>
      <w:proofErr w:type="gramStart"/>
      <w:r w:rsidRPr="00BA2609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BA2609">
        <w:rPr>
          <w:bCs/>
          <w:color w:val="000000"/>
          <w:sz w:val="28"/>
          <w:szCs w:val="28"/>
        </w:rPr>
        <w:t xml:space="preserve">  Правительства РФ от 20.06.2000 г. № 471) (п. 27 Перечня)</w:t>
      </w:r>
      <w:r w:rsidRPr="00BA2609">
        <w:rPr>
          <w:color w:val="000000"/>
          <w:sz w:val="28"/>
          <w:szCs w:val="28"/>
        </w:rPr>
        <w:t>.</w:t>
      </w:r>
    </w:p>
    <w:p w:rsidR="00BA2609" w:rsidRDefault="00BA2609" w:rsidP="00BA2609">
      <w:pPr>
        <w:ind w:firstLine="709"/>
        <w:jc w:val="both"/>
        <w:rPr>
          <w:color w:val="000000"/>
          <w:sz w:val="28"/>
          <w:szCs w:val="28"/>
        </w:rPr>
      </w:pPr>
      <w:r w:rsidRPr="00BA2609">
        <w:rPr>
          <w:color w:val="000000"/>
          <w:sz w:val="28"/>
          <w:szCs w:val="28"/>
        </w:rPr>
        <w:t>Наличие лицензии управления ФСБ России на осуществление работ с использованием сведений, составляющих государственную тайну.</w:t>
      </w:r>
    </w:p>
    <w:p w:rsidR="001E4949" w:rsidRPr="00BA2609" w:rsidRDefault="001E4949" w:rsidP="001E4949">
      <w:pPr>
        <w:pStyle w:val="HTM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4949">
        <w:rPr>
          <w:rFonts w:ascii="Times New Roman" w:hAnsi="Times New Roman" w:cs="Times New Roman"/>
          <w:color w:val="000000"/>
          <w:sz w:val="28"/>
          <w:szCs w:val="28"/>
        </w:rPr>
        <w:t xml:space="preserve">Наличие разрешительных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Pr="001E4949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hAnsi="Times New Roman" w:cs="Times New Roman"/>
          <w:color w:val="000000"/>
          <w:sz w:val="28"/>
          <w:szCs w:val="28"/>
        </w:rPr>
        <w:t>едение</w:t>
      </w:r>
      <w:r w:rsidRPr="001E4949">
        <w:rPr>
          <w:rFonts w:ascii="Times New Roman" w:hAnsi="Times New Roman" w:cs="Times New Roman"/>
          <w:color w:val="000000"/>
          <w:sz w:val="28"/>
          <w:szCs w:val="28"/>
        </w:rPr>
        <w:t xml:space="preserve"> экспертизы промышленной безопасности </w:t>
      </w:r>
      <w:r w:rsidRPr="001E4949">
        <w:rPr>
          <w:rFonts w:ascii="Times New Roman" w:hAnsi="Times New Roman" w:cs="Times New Roman"/>
          <w:sz w:val="28"/>
          <w:szCs w:val="28"/>
        </w:rPr>
        <w:t>в соответствии с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1E4949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1E4949">
        <w:rPr>
          <w:rFonts w:ascii="Times New Roman" w:hAnsi="Times New Roman" w:cs="Times New Roman"/>
          <w:sz w:val="28"/>
          <w:szCs w:val="28"/>
        </w:rPr>
        <w:t xml:space="preserve"> "О лицензировании отдельных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949">
        <w:rPr>
          <w:rFonts w:ascii="Times New Roman" w:hAnsi="Times New Roman" w:cs="Times New Roman"/>
          <w:sz w:val="28"/>
          <w:szCs w:val="28"/>
        </w:rPr>
        <w:t>видов деятельности" от 04.05.2011 № 99-ФЗ</w:t>
      </w:r>
      <w:r w:rsidR="00FD476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FD4761">
        <w:rPr>
          <w:rFonts w:ascii="Times New Roman" w:hAnsi="Times New Roman" w:cs="Times New Roman"/>
          <w:sz w:val="28"/>
          <w:szCs w:val="28"/>
        </w:rPr>
        <w:t>(или наличие данных документов у субподрядной организации)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562FEB" w:rsidRPr="00562FEB" w:rsidRDefault="00BA2609" w:rsidP="00BA2609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BA2609">
        <w:rPr>
          <w:color w:val="000000"/>
          <w:sz w:val="28"/>
          <w:szCs w:val="28"/>
        </w:rPr>
        <w:t>Наличие опыта выполнения аналогичных работ не менее трёх лет</w:t>
      </w:r>
      <w:r w:rsidRPr="00BA2609">
        <w:rPr>
          <w:bCs/>
        </w:rPr>
        <w:t xml:space="preserve"> </w:t>
      </w:r>
      <w:r w:rsidRPr="00BA2609">
        <w:rPr>
          <w:bCs/>
          <w:color w:val="000000"/>
          <w:sz w:val="28"/>
          <w:szCs w:val="28"/>
        </w:rPr>
        <w:t>на сумму не менее 1 250 000,00 (Один миллион двести пятьдесят тысяч) рублей</w:t>
      </w:r>
      <w:r w:rsidRPr="00BA2609">
        <w:rPr>
          <w:color w:val="000000"/>
          <w:sz w:val="28"/>
          <w:szCs w:val="28"/>
        </w:rPr>
        <w:t>.</w:t>
      </w:r>
      <w:r w:rsidR="00562FEB" w:rsidRPr="00FD6BAC">
        <w:rPr>
          <w:rFonts w:eastAsia="Arial Unicode MS" w:cs="Arial Unicode MS"/>
          <w:kern w:val="1"/>
          <w:sz w:val="28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610" w:rsidRDefault="00F17610">
      <w:r>
        <w:separator/>
      </w:r>
    </w:p>
  </w:endnote>
  <w:endnote w:type="continuationSeparator" w:id="0">
    <w:p w:rsidR="00F17610" w:rsidRDefault="00F1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D476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610" w:rsidRDefault="00F17610">
      <w:r>
        <w:separator/>
      </w:r>
    </w:p>
  </w:footnote>
  <w:footnote w:type="continuationSeparator" w:id="0">
    <w:p w:rsidR="00F17610" w:rsidRDefault="00F17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2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3"/>
  </w:num>
  <w:num w:numId="4">
    <w:abstractNumId w:val="18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2"/>
  </w:num>
  <w:num w:numId="13">
    <w:abstractNumId w:val="7"/>
  </w:num>
  <w:num w:numId="14">
    <w:abstractNumId w:val="16"/>
  </w:num>
  <w:num w:numId="15">
    <w:abstractNumId w:val="20"/>
  </w:num>
  <w:num w:numId="16">
    <w:abstractNumId w:val="17"/>
  </w:num>
  <w:num w:numId="17">
    <w:abstractNumId w:val="12"/>
  </w:num>
  <w:num w:numId="18">
    <w:abstractNumId w:val="8"/>
  </w:num>
  <w:num w:numId="19">
    <w:abstractNumId w:val="19"/>
  </w:num>
  <w:num w:numId="20">
    <w:abstractNumId w:val="11"/>
  </w:num>
  <w:num w:numId="21">
    <w:abstractNumId w:val="9"/>
  </w:num>
  <w:num w:numId="2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5A96D6-CD3B-4005-BEE6-8F16D62BDB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5EF537-24AF-4B01-B3F9-B866FF06B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9</Pages>
  <Words>2674</Words>
  <Characters>15244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17883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95</cp:revision>
  <cp:lastPrinted>2013-03-27T12:09:00Z</cp:lastPrinted>
  <dcterms:created xsi:type="dcterms:W3CDTF">2012-11-15T12:52:00Z</dcterms:created>
  <dcterms:modified xsi:type="dcterms:W3CDTF">2014-04-02T12:40:00Z</dcterms:modified>
</cp:coreProperties>
</file>