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7A031E">
        <w:t>лакокрасочных материалов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8733A3" w:rsidRPr="008733A3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</w:p>
    <w:p w:rsidR="008733A3" w:rsidRPr="008733A3" w:rsidRDefault="008733A3" w:rsidP="008733A3">
      <w:pPr>
        <w:jc w:val="center"/>
        <w:rPr>
          <w:b/>
          <w:sz w:val="26"/>
          <w:szCs w:val="28"/>
        </w:rPr>
      </w:pPr>
      <w:r w:rsidRPr="008733A3">
        <w:rPr>
          <w:b/>
          <w:sz w:val="26"/>
          <w:szCs w:val="28"/>
        </w:rPr>
        <w:lastRenderedPageBreak/>
        <w:t xml:space="preserve">ТРЕБОВАНИЯ к АКЗП </w:t>
      </w:r>
    </w:p>
    <w:p w:rsidR="008733A3" w:rsidRPr="008733A3" w:rsidRDefault="008733A3" w:rsidP="008733A3">
      <w:pPr>
        <w:jc w:val="center"/>
        <w:rPr>
          <w:b/>
          <w:sz w:val="26"/>
          <w:szCs w:val="28"/>
        </w:rPr>
      </w:pPr>
      <w:r w:rsidRPr="008733A3">
        <w:rPr>
          <w:b/>
          <w:sz w:val="26"/>
          <w:szCs w:val="28"/>
        </w:rPr>
        <w:br/>
      </w:r>
    </w:p>
    <w:p w:rsidR="008733A3" w:rsidRPr="008733A3" w:rsidRDefault="008733A3" w:rsidP="008733A3">
      <w:pPr>
        <w:widowControl w:val="0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709" w:firstLine="0"/>
        <w:jc w:val="both"/>
        <w:outlineLvl w:val="1"/>
        <w:rPr>
          <w:b/>
          <w:noProof/>
          <w:sz w:val="26"/>
          <w:szCs w:val="28"/>
        </w:rPr>
      </w:pPr>
      <w:r w:rsidRPr="008733A3">
        <w:rPr>
          <w:b/>
          <w:noProof/>
          <w:sz w:val="26"/>
          <w:szCs w:val="28"/>
        </w:rPr>
        <w:t>Описание АКЗП</w:t>
      </w:r>
    </w:p>
    <w:p w:rsidR="008733A3" w:rsidRPr="008733A3" w:rsidRDefault="008733A3" w:rsidP="008733A3">
      <w:pPr>
        <w:ind w:firstLine="709"/>
        <w:jc w:val="both"/>
        <w:rPr>
          <w:sz w:val="26"/>
          <w:szCs w:val="28"/>
        </w:rPr>
      </w:pPr>
      <w:r w:rsidRPr="008733A3">
        <w:rPr>
          <w:sz w:val="26"/>
          <w:szCs w:val="28"/>
        </w:rPr>
        <w:t>Материалы для системы АКЗП</w:t>
      </w:r>
      <w:r w:rsidRPr="008733A3">
        <w:rPr>
          <w:color w:val="FF0000"/>
          <w:sz w:val="26"/>
          <w:szCs w:val="28"/>
        </w:rPr>
        <w:t xml:space="preserve"> </w:t>
      </w:r>
      <w:r w:rsidRPr="008733A3">
        <w:rPr>
          <w:sz w:val="26"/>
          <w:szCs w:val="28"/>
        </w:rPr>
        <w:t xml:space="preserve">фирмы </w:t>
      </w:r>
      <w:r w:rsidRPr="008733A3">
        <w:rPr>
          <w:sz w:val="26"/>
          <w:szCs w:val="28"/>
          <w:lang w:val="en-US"/>
        </w:rPr>
        <w:t>JOTUN</w:t>
      </w:r>
      <w:r w:rsidRPr="008733A3">
        <w:rPr>
          <w:sz w:val="26"/>
          <w:szCs w:val="28"/>
        </w:rPr>
        <w:t xml:space="preserve"> </w:t>
      </w:r>
      <w:r w:rsidRPr="008733A3">
        <w:rPr>
          <w:color w:val="000000"/>
          <w:sz w:val="26"/>
          <w:szCs w:val="28"/>
        </w:rPr>
        <w:t>с указанием конкретных компонентов</w:t>
      </w:r>
      <w:r w:rsidRPr="008733A3">
        <w:rPr>
          <w:sz w:val="26"/>
          <w:szCs w:val="28"/>
        </w:rPr>
        <w:t xml:space="preserve">, соответствующих установленным </w:t>
      </w:r>
      <w:r w:rsidRPr="008733A3">
        <w:rPr>
          <w:color w:val="000000"/>
          <w:sz w:val="26"/>
          <w:szCs w:val="28"/>
        </w:rPr>
        <w:t>критериям</w:t>
      </w:r>
      <w:r w:rsidRPr="008733A3">
        <w:rPr>
          <w:sz w:val="26"/>
          <w:szCs w:val="28"/>
        </w:rPr>
        <w:t xml:space="preserve"> подтвержденным Заключением сертифицированной российской организации о соответствии требованиям № 2.3011Т.</w:t>
      </w:r>
    </w:p>
    <w:p w:rsidR="008733A3" w:rsidRPr="008733A3" w:rsidRDefault="008733A3" w:rsidP="008733A3">
      <w:pPr>
        <w:ind w:firstLine="709"/>
        <w:jc w:val="both"/>
        <w:rPr>
          <w:sz w:val="26"/>
          <w:szCs w:val="28"/>
        </w:rPr>
      </w:pPr>
    </w:p>
    <w:p w:rsidR="008733A3" w:rsidRPr="008733A3" w:rsidRDefault="008733A3" w:rsidP="008733A3">
      <w:pPr>
        <w:widowControl w:val="0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709" w:firstLine="0"/>
        <w:jc w:val="both"/>
        <w:outlineLvl w:val="1"/>
        <w:rPr>
          <w:b/>
          <w:noProof/>
          <w:sz w:val="26"/>
          <w:szCs w:val="28"/>
        </w:rPr>
      </w:pPr>
      <w:r w:rsidRPr="008733A3">
        <w:rPr>
          <w:b/>
          <w:noProof/>
          <w:sz w:val="26"/>
          <w:szCs w:val="28"/>
        </w:rPr>
        <w:t>Исходные данные для проведения работ</w:t>
      </w:r>
    </w:p>
    <w:p w:rsidR="008733A3" w:rsidRPr="008733A3" w:rsidRDefault="008733A3" w:rsidP="008733A3">
      <w:pPr>
        <w:widowControl w:val="0"/>
        <w:shd w:val="clear" w:color="auto" w:fill="FFFFFF"/>
        <w:ind w:firstLine="709"/>
        <w:jc w:val="both"/>
        <w:rPr>
          <w:sz w:val="26"/>
          <w:szCs w:val="28"/>
        </w:rPr>
      </w:pPr>
      <w:r w:rsidRPr="008733A3">
        <w:rPr>
          <w:sz w:val="26"/>
          <w:szCs w:val="28"/>
        </w:rPr>
        <w:t xml:space="preserve">Нанесение АКЗП на блок РО УАПЛ должно производиться в цехе ремонта и окраски РО </w:t>
      </w:r>
      <w:r w:rsidRPr="008733A3">
        <w:rPr>
          <w:sz w:val="26"/>
        </w:rPr>
        <w:t>Центра по обращению с радиоактивными отходами – отделение Сайда – Губа</w:t>
      </w:r>
      <w:r w:rsidRPr="008733A3">
        <w:rPr>
          <w:sz w:val="26"/>
          <w:szCs w:val="28"/>
        </w:rPr>
        <w:t xml:space="preserve"> СЗЦ «</w:t>
      </w:r>
      <w:proofErr w:type="spellStart"/>
      <w:r w:rsidRPr="008733A3">
        <w:rPr>
          <w:sz w:val="26"/>
          <w:szCs w:val="28"/>
        </w:rPr>
        <w:t>СевРАО</w:t>
      </w:r>
      <w:proofErr w:type="spellEnd"/>
      <w:r w:rsidRPr="008733A3">
        <w:rPr>
          <w:sz w:val="26"/>
          <w:szCs w:val="28"/>
        </w:rPr>
        <w:t>» - филиала ФГУП «</w:t>
      </w:r>
      <w:proofErr w:type="spellStart"/>
      <w:r w:rsidRPr="008733A3">
        <w:rPr>
          <w:sz w:val="26"/>
          <w:szCs w:val="28"/>
        </w:rPr>
        <w:t>РосРАО</w:t>
      </w:r>
      <w:proofErr w:type="spellEnd"/>
      <w:r w:rsidRPr="008733A3">
        <w:rPr>
          <w:sz w:val="26"/>
          <w:szCs w:val="28"/>
        </w:rPr>
        <w:t>».</w:t>
      </w:r>
    </w:p>
    <w:p w:rsidR="008733A3" w:rsidRPr="008733A3" w:rsidRDefault="008733A3" w:rsidP="008733A3">
      <w:pPr>
        <w:widowControl w:val="0"/>
        <w:shd w:val="clear" w:color="auto" w:fill="FFFFFF"/>
        <w:ind w:firstLine="709"/>
        <w:jc w:val="both"/>
        <w:rPr>
          <w:sz w:val="26"/>
          <w:szCs w:val="28"/>
        </w:rPr>
      </w:pPr>
    </w:p>
    <w:p w:rsidR="008733A3" w:rsidRPr="008733A3" w:rsidRDefault="008733A3" w:rsidP="008733A3">
      <w:pPr>
        <w:widowControl w:val="0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709" w:firstLine="0"/>
        <w:jc w:val="both"/>
        <w:outlineLvl w:val="1"/>
        <w:rPr>
          <w:b/>
          <w:noProof/>
          <w:sz w:val="26"/>
          <w:szCs w:val="28"/>
        </w:rPr>
      </w:pPr>
      <w:r w:rsidRPr="008733A3">
        <w:rPr>
          <w:b/>
          <w:noProof/>
          <w:sz w:val="26"/>
          <w:szCs w:val="28"/>
        </w:rPr>
        <w:t>Требования к защитному покрытию</w:t>
      </w:r>
    </w:p>
    <w:p w:rsidR="008733A3" w:rsidRPr="008733A3" w:rsidRDefault="008733A3" w:rsidP="008733A3">
      <w:pPr>
        <w:widowControl w:val="0"/>
        <w:ind w:firstLine="709"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Предлагаемое к применению покрытие должно иметь подтверждаемые производителем и сертифицированной российской организацией характеристики по критериям, установленным № 2.3011Т «Требованиями к антикоррозионному защитному покрытию для реакторных отсеков</w:t>
      </w:r>
      <w:r>
        <w:rPr>
          <w:kern w:val="18"/>
          <w:sz w:val="26"/>
          <w:szCs w:val="28"/>
        </w:rPr>
        <w:t>,</w:t>
      </w:r>
      <w:r w:rsidRPr="008733A3">
        <w:rPr>
          <w:kern w:val="18"/>
          <w:sz w:val="26"/>
          <w:szCs w:val="28"/>
        </w:rPr>
        <w:t xml:space="preserve"> утилизируемых АПЛ для условий длительного хранения на открытых наземных площадках» (или иметь лучшие), а именно: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Соответствие показателей технических характеристик требованиям ГОСТ Р51102-97 «Покрытия полимерные защитные дезактивируемые. Общие технические требования» в части п.п.1.1, 2.1, 2.2, 2.3 таблицы 1;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Условия эксплуатации (реакторные отсеки должны храниться на площадке ПДХ РО Центра по обращению с радиоактивными отходами – отделение Сайда – Губа в течение 50-70 лет):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В нештатной (аварийной) ситуации должна обеспечиваться возможность дезактивации поверхности РО.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Срок службы.</w:t>
      </w:r>
    </w:p>
    <w:p w:rsidR="008733A3" w:rsidRPr="008733A3" w:rsidRDefault="008733A3" w:rsidP="008733A3">
      <w:pPr>
        <w:widowControl w:val="0"/>
        <w:ind w:firstLine="709"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Защитное покрытие после нанесения его в производственных условиях должно иметь срок службы не менее 15 лет (межремонтная эксплуатация).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6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Технологичность.</w:t>
      </w:r>
    </w:p>
    <w:p w:rsidR="008733A3" w:rsidRPr="008733A3" w:rsidRDefault="008733A3" w:rsidP="008733A3">
      <w:pPr>
        <w:widowControl w:val="0"/>
        <w:spacing w:after="200"/>
        <w:ind w:firstLine="709"/>
        <w:contextualSpacing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 xml:space="preserve">По условиям эксплуатации и особенностям состояния наружная поверхность блоков соответствует степени ржавости (окисления) поверхности Д согласно ИСО 8501-1-2014. Степень подготовки поверхности в зависимости от применяемого Заказчиком метода очистки и оборудования соответствует St2 (при локальном ремонте) или Sa2,5 (при полном ремонте) по ИСО 8501-1-2014. </w:t>
      </w:r>
    </w:p>
    <w:p w:rsidR="008733A3" w:rsidRPr="008733A3" w:rsidRDefault="008733A3" w:rsidP="008733A3">
      <w:pPr>
        <w:widowControl w:val="0"/>
        <w:spacing w:after="200"/>
        <w:ind w:firstLine="709"/>
        <w:contextualSpacing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Подготовка поверхности, нанесение и формирование покрытия, контроль его качества должны быть выполнимы с помощью существующего промышленного оборудования.</w:t>
      </w:r>
    </w:p>
    <w:p w:rsidR="008733A3" w:rsidRPr="008733A3" w:rsidRDefault="008733A3" w:rsidP="008733A3">
      <w:pPr>
        <w:widowControl w:val="0"/>
        <w:spacing w:after="200"/>
        <w:ind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kern w:val="18"/>
          <w:sz w:val="26"/>
          <w:szCs w:val="28"/>
          <w:lang w:eastAsia="en-US"/>
        </w:rPr>
        <w:t xml:space="preserve">Поставщик АКЗП должен представить заключение о возможности использования окрасочного оборудования </w:t>
      </w:r>
      <w:r w:rsidRPr="008733A3">
        <w:rPr>
          <w:sz w:val="26"/>
          <w:szCs w:val="28"/>
          <w:lang w:eastAsia="en-US"/>
        </w:rPr>
        <w:t xml:space="preserve">WIWA </w:t>
      </w:r>
      <w:r w:rsidRPr="008733A3">
        <w:rPr>
          <w:sz w:val="26"/>
          <w:szCs w:val="28"/>
          <w:lang w:val="en-US" w:eastAsia="en-US"/>
        </w:rPr>
        <w:t>Professional</w:t>
      </w:r>
      <w:r w:rsidRPr="008733A3">
        <w:rPr>
          <w:sz w:val="26"/>
          <w:szCs w:val="28"/>
          <w:lang w:eastAsia="en-US"/>
        </w:rPr>
        <w:t>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6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Ремонтопригодность.</w:t>
      </w:r>
    </w:p>
    <w:p w:rsidR="008733A3" w:rsidRPr="008733A3" w:rsidRDefault="008733A3" w:rsidP="008733A3">
      <w:pPr>
        <w:widowControl w:val="0"/>
        <w:ind w:firstLine="709"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Защитное покрытие должно быть пригодным к ремонту по истечению срока службы или при локальном восстановлении разрушенных участков в условиях открытой площадки ПДХ РО.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proofErr w:type="spellStart"/>
      <w:r w:rsidRPr="008733A3">
        <w:rPr>
          <w:sz w:val="26"/>
          <w:szCs w:val="28"/>
          <w:lang w:eastAsia="en-US"/>
        </w:rPr>
        <w:t>Дезактивируемость</w:t>
      </w:r>
      <w:proofErr w:type="spellEnd"/>
      <w:r w:rsidRPr="008733A3">
        <w:rPr>
          <w:sz w:val="26"/>
          <w:szCs w:val="28"/>
          <w:lang w:eastAsia="en-US"/>
        </w:rPr>
        <w:t>.</w:t>
      </w:r>
    </w:p>
    <w:p w:rsidR="008733A3" w:rsidRPr="008733A3" w:rsidRDefault="008733A3" w:rsidP="008733A3">
      <w:pPr>
        <w:widowControl w:val="0"/>
        <w:ind w:firstLine="709"/>
        <w:jc w:val="both"/>
        <w:rPr>
          <w:strike/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 xml:space="preserve">Защитное покрытие должно быть легко дезактивируемым, устойчиво к воздействию применяемых в промышленности дезактивируемых сред и, согласно </w:t>
      </w:r>
      <w:r w:rsidRPr="008733A3">
        <w:rPr>
          <w:sz w:val="26"/>
          <w:szCs w:val="28"/>
        </w:rPr>
        <w:t xml:space="preserve">ГОСТ Р51102-97, иметь коэффициент дезактивации не менее 60 по </w:t>
      </w:r>
      <w:r w:rsidRPr="008733A3">
        <w:rPr>
          <w:sz w:val="26"/>
          <w:szCs w:val="28"/>
          <w:lang w:val="en-US"/>
        </w:rPr>
        <w:t>Cs</w:t>
      </w:r>
      <w:r w:rsidRPr="008733A3">
        <w:rPr>
          <w:sz w:val="26"/>
          <w:szCs w:val="28"/>
        </w:rPr>
        <w:t>-137.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lastRenderedPageBreak/>
        <w:t>Радиационная стойкость.</w:t>
      </w:r>
    </w:p>
    <w:p w:rsidR="008733A3" w:rsidRPr="008733A3" w:rsidRDefault="008733A3" w:rsidP="008733A3">
      <w:pPr>
        <w:widowControl w:val="0"/>
        <w:ind w:firstLine="709"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Защитное покрытие должно сохранять работоспособность при интегральной дозе ионизирующего излучения до 0,001 </w:t>
      </w:r>
      <w:proofErr w:type="spellStart"/>
      <w:r w:rsidRPr="008733A3">
        <w:rPr>
          <w:kern w:val="18"/>
          <w:sz w:val="26"/>
          <w:szCs w:val="28"/>
        </w:rPr>
        <w:t>мЗв</w:t>
      </w:r>
      <w:proofErr w:type="spellEnd"/>
      <w:r w:rsidRPr="008733A3">
        <w:rPr>
          <w:kern w:val="18"/>
          <w:sz w:val="26"/>
          <w:szCs w:val="28"/>
        </w:rPr>
        <w:t>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Безопасность труда и охрана окружающей среды:</w:t>
      </w:r>
    </w:p>
    <w:p w:rsidR="008733A3" w:rsidRPr="008733A3" w:rsidRDefault="008733A3" w:rsidP="008733A3">
      <w:pPr>
        <w:widowControl w:val="0"/>
        <w:ind w:firstLine="709"/>
        <w:jc w:val="both"/>
        <w:rPr>
          <w:i/>
          <w:color w:val="92D050"/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Защитное покрытие должно быть допущено к применению санитарными органами России в установленном порядке.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Пожаробезопасность.</w:t>
      </w:r>
    </w:p>
    <w:p w:rsidR="008733A3" w:rsidRPr="008733A3" w:rsidRDefault="008733A3" w:rsidP="008733A3">
      <w:pPr>
        <w:widowControl w:val="0"/>
        <w:ind w:firstLine="709"/>
        <w:jc w:val="both"/>
        <w:rPr>
          <w:color w:val="000000"/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Покрытие, входящее в систему АКЗП должно иметь заключение соответствующего органа и, в соответствии с ГОСТ 12.1.044-89 (ИСО 4589-84) п. 4.3.4.3, относиться к группе горючих трудно воспламеняемых материалов</w:t>
      </w:r>
      <w:r w:rsidRPr="008733A3">
        <w:rPr>
          <w:color w:val="000000"/>
          <w:kern w:val="18"/>
          <w:sz w:val="26"/>
          <w:szCs w:val="28"/>
        </w:rPr>
        <w:t xml:space="preserve">, в соответствии с ГОСТ 30402-96 п. 5.1 относиться к группе воспламеняемости В1, в соответствии с ГОСТ 30244-94 п.5.3 к группе горючести Г1, в соответствии с ГОСТ 51032-97 п.5.1 к группе распространения пламени по поверхности РП1, в соответствии с ГОСТ 12.1.044-89 к группе </w:t>
      </w:r>
      <w:proofErr w:type="spellStart"/>
      <w:r w:rsidRPr="008733A3">
        <w:rPr>
          <w:color w:val="000000"/>
          <w:kern w:val="18"/>
          <w:sz w:val="26"/>
          <w:szCs w:val="28"/>
        </w:rPr>
        <w:t>трудногорючих</w:t>
      </w:r>
      <w:proofErr w:type="spellEnd"/>
      <w:r w:rsidRPr="008733A3">
        <w:rPr>
          <w:color w:val="000000"/>
          <w:kern w:val="18"/>
          <w:sz w:val="26"/>
          <w:szCs w:val="28"/>
        </w:rPr>
        <w:t xml:space="preserve"> твердых веществ и материалов.</w:t>
      </w:r>
    </w:p>
    <w:p w:rsidR="008733A3" w:rsidRPr="008733A3" w:rsidRDefault="008733A3" w:rsidP="008733A3">
      <w:pPr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before="120" w:after="60"/>
        <w:ind w:left="0" w:firstLine="709"/>
        <w:contextualSpacing/>
        <w:jc w:val="both"/>
        <w:outlineLvl w:val="3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Стойкость к метеорологическим условиям.</w:t>
      </w:r>
    </w:p>
    <w:p w:rsidR="008733A3" w:rsidRPr="008733A3" w:rsidRDefault="008733A3" w:rsidP="008733A3">
      <w:pPr>
        <w:widowControl w:val="0"/>
        <w:ind w:firstLine="709"/>
        <w:jc w:val="both"/>
        <w:rPr>
          <w:kern w:val="18"/>
          <w:sz w:val="26"/>
          <w:szCs w:val="28"/>
        </w:rPr>
      </w:pPr>
      <w:r w:rsidRPr="008733A3">
        <w:rPr>
          <w:kern w:val="18"/>
          <w:sz w:val="26"/>
          <w:szCs w:val="28"/>
        </w:rPr>
        <w:t>Защитное покрытие должно быть устойчиво к воздействию ультрафиолетового излучения, сезонных перепадов температуры, осадков в условиях атмосферной среды атмосферно-коррозионной категории С5-М очень высокая (морская) по ИСО 12944-2.</w:t>
      </w:r>
    </w:p>
    <w:p w:rsidR="008733A3" w:rsidRPr="008733A3" w:rsidRDefault="008733A3" w:rsidP="008733A3">
      <w:pPr>
        <w:widowControl w:val="0"/>
        <w:ind w:firstLine="709"/>
        <w:jc w:val="both"/>
        <w:rPr>
          <w:kern w:val="18"/>
          <w:sz w:val="26"/>
          <w:szCs w:val="28"/>
        </w:rPr>
      </w:pPr>
    </w:p>
    <w:p w:rsidR="008733A3" w:rsidRPr="008733A3" w:rsidRDefault="008733A3" w:rsidP="008733A3">
      <w:pPr>
        <w:widowControl w:val="0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before="120" w:after="120"/>
        <w:ind w:left="709" w:firstLine="0"/>
        <w:jc w:val="both"/>
        <w:outlineLvl w:val="1"/>
        <w:rPr>
          <w:b/>
          <w:noProof/>
          <w:sz w:val="26"/>
          <w:szCs w:val="28"/>
        </w:rPr>
      </w:pPr>
      <w:r w:rsidRPr="008733A3">
        <w:rPr>
          <w:b/>
          <w:noProof/>
          <w:sz w:val="26"/>
          <w:szCs w:val="28"/>
        </w:rPr>
        <w:t>Представляемые документы на процедуру закупки: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Обоснование количества АКЗП исходя из площади окраски, толщины сухой пленки, полосового окрашивания с учетом конструктивных особенностей и необходимого потребления разбавителя;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Технические характеристики АКЗП;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 xml:space="preserve">Заключение сертифицированной российской организации о сроке службы системы АКЗП, в соответствии с «Требованиями к антикоррозионному защитному покрытию </w:t>
      </w:r>
      <w:r w:rsidRPr="008733A3">
        <w:rPr>
          <w:sz w:val="26"/>
          <w:szCs w:val="28"/>
          <w:lang w:eastAsia="en-US"/>
        </w:rPr>
        <w:t>для реакторных отсеков,</w:t>
      </w:r>
      <w:r w:rsidRPr="008733A3">
        <w:rPr>
          <w:sz w:val="26"/>
          <w:szCs w:val="28"/>
          <w:lang w:eastAsia="en-US"/>
        </w:rPr>
        <w:t xml:space="preserve"> утилизируемых АПЛ для длительного хранения на открытых наземных площадках» №2.3011Т;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 xml:space="preserve">Заключение изготовителя системы АКЗП о возможности использования оборудования WIWA </w:t>
      </w:r>
      <w:proofErr w:type="spellStart"/>
      <w:r w:rsidRPr="008733A3">
        <w:rPr>
          <w:sz w:val="26"/>
          <w:szCs w:val="28"/>
          <w:lang w:eastAsia="en-US"/>
        </w:rPr>
        <w:t>Professional</w:t>
      </w:r>
      <w:proofErr w:type="spellEnd"/>
      <w:r w:rsidRPr="008733A3">
        <w:rPr>
          <w:sz w:val="26"/>
          <w:szCs w:val="28"/>
          <w:lang w:eastAsia="en-US"/>
        </w:rPr>
        <w:t>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Инструкция по применению системы АКЗП в части ремонтопригодности;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 xml:space="preserve">Заключение сертифицированной российской организации о соответствии выбранной системы АКЗП ГОСТ Р51102-97 в части </w:t>
      </w:r>
      <w:proofErr w:type="spellStart"/>
      <w:r w:rsidRPr="008733A3">
        <w:rPr>
          <w:sz w:val="26"/>
          <w:szCs w:val="28"/>
          <w:lang w:eastAsia="en-US"/>
        </w:rPr>
        <w:t>дезактивируемости</w:t>
      </w:r>
      <w:proofErr w:type="spellEnd"/>
      <w:r w:rsidRPr="008733A3">
        <w:rPr>
          <w:sz w:val="26"/>
          <w:szCs w:val="28"/>
          <w:lang w:eastAsia="en-US"/>
        </w:rPr>
        <w:t xml:space="preserve"> и радиационной стойкости;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Заключение сертифицированной российской организации в части соответствия материалов, входящих в систему АКЗП группе горючих трудно воспламеняемых материалов Г1 по ГОСТ 30244-94, группе воспламеняемости В1 по ГОСТ 30244-94, группе распространения пламени по поверхности РП1 по ГОСТ 51032-97, группе трудно горючих твердых веществ и материалов по ГОСТ 12.1.044-89;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Заключение сертифицированной российской организации о соответствии выбранной системы АКЗП требованиям санитарных органов России;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Заключение сертифицированной российской организации о соответствии выбранной системы АКЗП требованиям к воздействию среды атмосферно-коррозионной категории С5-М очень высокая (морская) по ИСО 12944-2;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 xml:space="preserve">Копии (заверенные) о </w:t>
      </w:r>
      <w:proofErr w:type="spellStart"/>
      <w:r w:rsidRPr="008733A3">
        <w:rPr>
          <w:sz w:val="26"/>
          <w:szCs w:val="28"/>
          <w:lang w:eastAsia="en-US"/>
        </w:rPr>
        <w:t>сертифицировании</w:t>
      </w:r>
      <w:proofErr w:type="spellEnd"/>
      <w:r w:rsidRPr="008733A3">
        <w:rPr>
          <w:sz w:val="26"/>
          <w:szCs w:val="28"/>
          <w:lang w:eastAsia="en-US"/>
        </w:rPr>
        <w:t xml:space="preserve"> </w:t>
      </w:r>
      <w:proofErr w:type="gramStart"/>
      <w:r w:rsidRPr="008733A3">
        <w:rPr>
          <w:sz w:val="26"/>
          <w:szCs w:val="28"/>
          <w:lang w:eastAsia="en-US"/>
        </w:rPr>
        <w:t>организаций</w:t>
      </w:r>
      <w:proofErr w:type="gramEnd"/>
      <w:r w:rsidRPr="008733A3">
        <w:rPr>
          <w:sz w:val="26"/>
          <w:szCs w:val="28"/>
          <w:lang w:eastAsia="en-US"/>
        </w:rPr>
        <w:t xml:space="preserve"> представивших заключения о соответствии.</w:t>
      </w:r>
    </w:p>
    <w:p w:rsidR="008733A3" w:rsidRPr="008733A3" w:rsidRDefault="008733A3" w:rsidP="008733A3">
      <w:pPr>
        <w:widowControl w:val="0"/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8"/>
          <w:lang w:eastAsia="en-US"/>
        </w:rPr>
      </w:pPr>
      <w:r w:rsidRPr="008733A3">
        <w:rPr>
          <w:sz w:val="26"/>
          <w:szCs w:val="28"/>
          <w:lang w:eastAsia="en-US"/>
        </w:rPr>
        <w:t>Компоненты АКЗП, как указано ниже:</w:t>
      </w:r>
    </w:p>
    <w:p w:rsidR="008733A3" w:rsidRPr="008733A3" w:rsidRDefault="008733A3" w:rsidP="008733A3">
      <w:pPr>
        <w:widowControl w:val="0"/>
        <w:tabs>
          <w:tab w:val="left" w:pos="1134"/>
        </w:tabs>
        <w:ind w:left="720"/>
        <w:contextualSpacing/>
        <w:jc w:val="both"/>
        <w:rPr>
          <w:sz w:val="26"/>
          <w:szCs w:val="28"/>
          <w:lang w:eastAsia="en-US"/>
        </w:rPr>
      </w:pPr>
    </w:p>
    <w:tbl>
      <w:tblPr>
        <w:tblW w:w="967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6268"/>
        <w:gridCol w:w="1276"/>
        <w:gridCol w:w="1417"/>
      </w:tblGrid>
      <w:tr w:rsidR="008733A3" w:rsidRPr="008733A3" w:rsidTr="00806025">
        <w:trPr>
          <w:trHeight w:val="945"/>
          <w:tblHeader/>
        </w:trPr>
        <w:tc>
          <w:tcPr>
            <w:tcW w:w="712" w:type="dxa"/>
            <w:vAlign w:val="center"/>
            <w:hideMark/>
          </w:tcPr>
          <w:p w:rsidR="008733A3" w:rsidRPr="008733A3" w:rsidRDefault="008733A3" w:rsidP="008733A3">
            <w:pPr>
              <w:suppressAutoHyphens/>
              <w:spacing w:line="276" w:lineRule="auto"/>
              <w:jc w:val="center"/>
              <w:rPr>
                <w:bCs/>
                <w:lang w:eastAsia="en-US"/>
              </w:rPr>
            </w:pPr>
            <w:r w:rsidRPr="008733A3">
              <w:rPr>
                <w:bCs/>
                <w:lang w:eastAsia="en-US"/>
              </w:rPr>
              <w:lastRenderedPageBreak/>
              <w:t xml:space="preserve">№ </w:t>
            </w:r>
            <w:r w:rsidRPr="008733A3">
              <w:rPr>
                <w:bCs/>
                <w:lang w:eastAsia="en-US"/>
              </w:rPr>
              <w:br/>
              <w:t>п/п</w:t>
            </w:r>
          </w:p>
        </w:tc>
        <w:tc>
          <w:tcPr>
            <w:tcW w:w="6268" w:type="dxa"/>
            <w:vAlign w:val="center"/>
            <w:hideMark/>
          </w:tcPr>
          <w:p w:rsidR="008733A3" w:rsidRPr="008733A3" w:rsidRDefault="008733A3" w:rsidP="008733A3">
            <w:pPr>
              <w:suppressAutoHyphens/>
              <w:spacing w:line="276" w:lineRule="auto"/>
              <w:ind w:firstLine="36"/>
              <w:jc w:val="center"/>
              <w:rPr>
                <w:bCs/>
                <w:lang w:eastAsia="en-US"/>
              </w:rPr>
            </w:pPr>
            <w:r w:rsidRPr="008733A3">
              <w:rPr>
                <w:bCs/>
                <w:lang w:eastAsia="en-US"/>
              </w:rPr>
              <w:t>Наименование материалов</w:t>
            </w:r>
          </w:p>
        </w:tc>
        <w:tc>
          <w:tcPr>
            <w:tcW w:w="1276" w:type="dxa"/>
            <w:vAlign w:val="center"/>
            <w:hideMark/>
          </w:tcPr>
          <w:p w:rsidR="008733A3" w:rsidRPr="008733A3" w:rsidRDefault="008733A3" w:rsidP="008733A3">
            <w:pPr>
              <w:suppressAutoHyphens/>
              <w:spacing w:line="276" w:lineRule="auto"/>
              <w:jc w:val="center"/>
              <w:rPr>
                <w:bCs/>
                <w:lang w:eastAsia="en-US"/>
              </w:rPr>
            </w:pPr>
            <w:r w:rsidRPr="008733A3">
              <w:rPr>
                <w:bCs/>
                <w:lang w:eastAsia="en-US"/>
              </w:rPr>
              <w:t>Ед. изм.</w:t>
            </w:r>
          </w:p>
        </w:tc>
        <w:tc>
          <w:tcPr>
            <w:tcW w:w="1417" w:type="dxa"/>
            <w:vAlign w:val="center"/>
            <w:hideMark/>
          </w:tcPr>
          <w:p w:rsidR="008733A3" w:rsidRPr="008733A3" w:rsidRDefault="008733A3" w:rsidP="008733A3">
            <w:pPr>
              <w:suppressAutoHyphens/>
              <w:spacing w:line="276" w:lineRule="auto"/>
              <w:jc w:val="center"/>
              <w:rPr>
                <w:bCs/>
                <w:lang w:eastAsia="en-US"/>
              </w:rPr>
            </w:pPr>
            <w:r w:rsidRPr="008733A3">
              <w:rPr>
                <w:bCs/>
                <w:lang w:eastAsia="en-US"/>
              </w:rPr>
              <w:t>Кол-во</w:t>
            </w:r>
          </w:p>
        </w:tc>
      </w:tr>
      <w:tr w:rsidR="008733A3" w:rsidRPr="008733A3" w:rsidTr="00806025">
        <w:trPr>
          <w:trHeight w:val="255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eastAsia="en-US"/>
              </w:rPr>
            </w:pPr>
          </w:p>
        </w:tc>
        <w:tc>
          <w:tcPr>
            <w:tcW w:w="6268" w:type="dxa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val="en-US" w:eastAsia="en-US"/>
              </w:rPr>
            </w:pPr>
            <w:proofErr w:type="spellStart"/>
            <w:r w:rsidRPr="008733A3">
              <w:rPr>
                <w:lang w:val="en-US" w:eastAsia="en-US"/>
              </w:rPr>
              <w:t>Jotamastic</w:t>
            </w:r>
            <w:proofErr w:type="spellEnd"/>
            <w:r w:rsidRPr="008733A3">
              <w:rPr>
                <w:lang w:val="en-US" w:eastAsia="en-US"/>
              </w:rPr>
              <w:t xml:space="preserve"> 87 Comp. B (2,7 L) </w:t>
            </w:r>
            <w:r w:rsidRPr="008733A3">
              <w:rPr>
                <w:lang w:eastAsia="en-US"/>
              </w:rPr>
              <w:t>Краска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132,3</w:t>
            </w:r>
          </w:p>
        </w:tc>
      </w:tr>
      <w:tr w:rsidR="008733A3" w:rsidRPr="008733A3" w:rsidTr="00806025">
        <w:trPr>
          <w:trHeight w:val="193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val="en-US" w:eastAsia="en-US"/>
              </w:rPr>
            </w:pPr>
          </w:p>
        </w:tc>
        <w:tc>
          <w:tcPr>
            <w:tcW w:w="6268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val="en-US" w:eastAsia="en-US"/>
              </w:rPr>
            </w:pPr>
            <w:proofErr w:type="spellStart"/>
            <w:r w:rsidRPr="008733A3">
              <w:rPr>
                <w:lang w:val="en-US" w:eastAsia="en-US"/>
              </w:rPr>
              <w:t>Jotamastic</w:t>
            </w:r>
            <w:proofErr w:type="spellEnd"/>
            <w:r w:rsidRPr="008733A3">
              <w:rPr>
                <w:lang w:val="en-US" w:eastAsia="en-US"/>
              </w:rPr>
              <w:t xml:space="preserve"> 87 </w:t>
            </w:r>
            <w:proofErr w:type="spellStart"/>
            <w:r w:rsidRPr="008733A3">
              <w:rPr>
                <w:lang w:val="en-US" w:eastAsia="en-US"/>
              </w:rPr>
              <w:t>Std</w:t>
            </w:r>
            <w:proofErr w:type="spellEnd"/>
            <w:r w:rsidRPr="008733A3">
              <w:rPr>
                <w:lang w:val="en-US" w:eastAsia="en-US"/>
              </w:rPr>
              <w:t xml:space="preserve"> 49 Comp A (16 L) </w:t>
            </w:r>
            <w:r w:rsidRPr="008733A3">
              <w:rPr>
                <w:lang w:eastAsia="en-US"/>
              </w:rPr>
              <w:t>Краска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val="en-US"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784</w:t>
            </w:r>
          </w:p>
        </w:tc>
      </w:tr>
      <w:tr w:rsidR="008733A3" w:rsidRPr="008733A3" w:rsidTr="00806025">
        <w:trPr>
          <w:trHeight w:val="255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val="en-US" w:eastAsia="en-US"/>
              </w:rPr>
            </w:pPr>
          </w:p>
        </w:tc>
        <w:tc>
          <w:tcPr>
            <w:tcW w:w="6268" w:type="dxa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val="en-US" w:eastAsia="en-US"/>
              </w:rPr>
            </w:pPr>
            <w:proofErr w:type="spellStart"/>
            <w:r w:rsidRPr="008733A3">
              <w:rPr>
                <w:lang w:val="en-US" w:eastAsia="en-US"/>
              </w:rPr>
              <w:t>Penguard</w:t>
            </w:r>
            <w:proofErr w:type="spellEnd"/>
            <w:r w:rsidRPr="008733A3">
              <w:rPr>
                <w:lang w:val="en-US" w:eastAsia="en-US"/>
              </w:rPr>
              <w:t xml:space="preserve"> Clear Sealer (16 L) </w:t>
            </w:r>
            <w:r w:rsidRPr="008733A3">
              <w:rPr>
                <w:lang w:eastAsia="en-US"/>
              </w:rPr>
              <w:t>Краска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val="en-US"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192</w:t>
            </w:r>
          </w:p>
        </w:tc>
      </w:tr>
      <w:tr w:rsidR="008733A3" w:rsidRPr="008733A3" w:rsidTr="00806025">
        <w:trPr>
          <w:trHeight w:val="255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val="en-US" w:eastAsia="en-US"/>
              </w:rPr>
            </w:pPr>
          </w:p>
        </w:tc>
        <w:tc>
          <w:tcPr>
            <w:tcW w:w="6268" w:type="dxa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val="en-US" w:eastAsia="en-US"/>
              </w:rPr>
            </w:pPr>
            <w:proofErr w:type="spellStart"/>
            <w:r w:rsidRPr="008733A3">
              <w:rPr>
                <w:lang w:val="en-US" w:eastAsia="en-US"/>
              </w:rPr>
              <w:t>Penguard</w:t>
            </w:r>
            <w:proofErr w:type="spellEnd"/>
            <w:r w:rsidRPr="008733A3">
              <w:rPr>
                <w:lang w:val="en-US" w:eastAsia="en-US"/>
              </w:rPr>
              <w:t xml:space="preserve"> Comp B (4 L) </w:t>
            </w:r>
            <w:r w:rsidRPr="008733A3">
              <w:rPr>
                <w:lang w:eastAsia="en-US"/>
              </w:rPr>
              <w:t>Краска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val="en-US"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48</w:t>
            </w:r>
          </w:p>
        </w:tc>
      </w:tr>
      <w:tr w:rsidR="008733A3" w:rsidRPr="008733A3" w:rsidTr="00806025">
        <w:trPr>
          <w:trHeight w:val="255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val="en-US" w:eastAsia="en-US"/>
              </w:rPr>
            </w:pPr>
          </w:p>
        </w:tc>
        <w:tc>
          <w:tcPr>
            <w:tcW w:w="6268" w:type="dxa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val="en-US" w:eastAsia="en-US"/>
              </w:rPr>
            </w:pPr>
            <w:proofErr w:type="spellStart"/>
            <w:r w:rsidRPr="008733A3">
              <w:rPr>
                <w:lang w:val="en-US" w:eastAsia="en-US"/>
              </w:rPr>
              <w:t>Penguard</w:t>
            </w:r>
            <w:proofErr w:type="spellEnd"/>
            <w:r w:rsidRPr="008733A3">
              <w:rPr>
                <w:lang w:val="en-US" w:eastAsia="en-US"/>
              </w:rPr>
              <w:t xml:space="preserve"> Comp B (4 L) </w:t>
            </w:r>
            <w:r w:rsidRPr="008733A3">
              <w:rPr>
                <w:lang w:eastAsia="en-US"/>
              </w:rPr>
              <w:t>Краска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val="en-US"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64</w:t>
            </w:r>
          </w:p>
        </w:tc>
      </w:tr>
      <w:tr w:rsidR="008733A3" w:rsidRPr="008733A3" w:rsidTr="00806025">
        <w:trPr>
          <w:trHeight w:val="255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val="en-US" w:eastAsia="en-US"/>
              </w:rPr>
            </w:pPr>
          </w:p>
        </w:tc>
        <w:tc>
          <w:tcPr>
            <w:tcW w:w="6268" w:type="dxa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val="en-US" w:eastAsia="en-US"/>
              </w:rPr>
            </w:pPr>
            <w:proofErr w:type="spellStart"/>
            <w:r w:rsidRPr="008733A3">
              <w:rPr>
                <w:lang w:val="en-US" w:eastAsia="en-US"/>
              </w:rPr>
              <w:t>Penguard</w:t>
            </w:r>
            <w:proofErr w:type="spellEnd"/>
            <w:r w:rsidRPr="008733A3">
              <w:rPr>
                <w:lang w:val="en-US" w:eastAsia="en-US"/>
              </w:rPr>
              <w:t xml:space="preserve"> TC RAL 3013 (16 L) </w:t>
            </w:r>
            <w:r w:rsidRPr="008733A3">
              <w:rPr>
                <w:lang w:eastAsia="en-US"/>
              </w:rPr>
              <w:t>Краска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val="en-US"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224</w:t>
            </w:r>
          </w:p>
        </w:tc>
      </w:tr>
      <w:tr w:rsidR="008733A3" w:rsidRPr="008733A3" w:rsidTr="00806025">
        <w:trPr>
          <w:trHeight w:val="255"/>
        </w:trPr>
        <w:tc>
          <w:tcPr>
            <w:tcW w:w="712" w:type="dxa"/>
          </w:tcPr>
          <w:p w:rsidR="008733A3" w:rsidRPr="008733A3" w:rsidRDefault="008733A3" w:rsidP="008733A3">
            <w:pPr>
              <w:numPr>
                <w:ilvl w:val="0"/>
                <w:numId w:val="48"/>
              </w:numPr>
              <w:suppressAutoHyphens/>
              <w:spacing w:line="276" w:lineRule="auto"/>
              <w:ind w:left="181" w:right="-250"/>
              <w:jc w:val="center"/>
              <w:rPr>
                <w:lang w:val="en-US" w:eastAsia="en-US"/>
              </w:rPr>
            </w:pPr>
          </w:p>
        </w:tc>
        <w:tc>
          <w:tcPr>
            <w:tcW w:w="6268" w:type="dxa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both"/>
              <w:rPr>
                <w:lang w:eastAsia="en-US"/>
              </w:rPr>
            </w:pPr>
            <w:r w:rsidRPr="008733A3">
              <w:rPr>
                <w:lang w:val="en-US" w:eastAsia="en-US"/>
              </w:rPr>
              <w:t xml:space="preserve">Thinner </w:t>
            </w:r>
            <w:r w:rsidRPr="008733A3">
              <w:rPr>
                <w:lang w:eastAsia="en-US"/>
              </w:rPr>
              <w:t>№17 (20 л) Растворитель</w:t>
            </w:r>
          </w:p>
        </w:tc>
        <w:tc>
          <w:tcPr>
            <w:tcW w:w="1276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val="en-US" w:eastAsia="en-US"/>
              </w:rPr>
            </w:pPr>
            <w:r w:rsidRPr="008733A3">
              <w:rPr>
                <w:lang w:eastAsia="en-US"/>
              </w:rPr>
              <w:t>литр</w:t>
            </w:r>
          </w:p>
        </w:tc>
        <w:tc>
          <w:tcPr>
            <w:tcW w:w="1417" w:type="dxa"/>
            <w:vAlign w:val="bottom"/>
          </w:tcPr>
          <w:p w:rsidR="008733A3" w:rsidRPr="008733A3" w:rsidRDefault="008733A3" w:rsidP="008733A3">
            <w:pPr>
              <w:suppressAutoHyphens/>
              <w:spacing w:line="276" w:lineRule="auto"/>
              <w:ind w:firstLine="340"/>
              <w:jc w:val="center"/>
              <w:rPr>
                <w:lang w:eastAsia="en-US"/>
              </w:rPr>
            </w:pPr>
            <w:r w:rsidRPr="008733A3">
              <w:rPr>
                <w:lang w:eastAsia="en-US"/>
              </w:rPr>
              <w:t>140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733A3" w:rsidRDefault="008733A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8733A3" w:rsidP="008733A3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733A3">
        <w:rPr>
          <w:rFonts w:ascii="Times New Roman" w:hAnsi="Times New Roman"/>
          <w:sz w:val="24"/>
          <w:szCs w:val="24"/>
        </w:rPr>
        <w:t xml:space="preserve">Зам. директора по ОД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bookmarkStart w:id="1" w:name="_GoBack"/>
      <w:bookmarkEnd w:id="1"/>
      <w:r w:rsidRPr="008733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33A3">
        <w:rPr>
          <w:rFonts w:ascii="Times New Roman" w:hAnsi="Times New Roman"/>
          <w:sz w:val="24"/>
          <w:szCs w:val="24"/>
        </w:rPr>
        <w:t>Гулак</w:t>
      </w:r>
      <w:proofErr w:type="spellEnd"/>
      <w:r w:rsidRPr="008733A3">
        <w:rPr>
          <w:rFonts w:ascii="Times New Roman" w:hAnsi="Times New Roman"/>
          <w:sz w:val="24"/>
          <w:szCs w:val="24"/>
        </w:rPr>
        <w:t xml:space="preserve"> Д.В.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C14" w:rsidRDefault="00002C14">
      <w:r>
        <w:separator/>
      </w:r>
    </w:p>
  </w:endnote>
  <w:endnote w:type="continuationSeparator" w:id="0">
    <w:p w:rsidR="00002C14" w:rsidRDefault="00002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733A3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C14" w:rsidRDefault="00002C14">
      <w:r>
        <w:separator/>
      </w:r>
    </w:p>
  </w:footnote>
  <w:footnote w:type="continuationSeparator" w:id="0">
    <w:p w:rsidR="00002C14" w:rsidRDefault="00002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75D7C8F"/>
    <w:multiLevelType w:val="multilevel"/>
    <w:tmpl w:val="95E8771A"/>
    <w:lvl w:ilvl="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>
      <w:start w:val="1"/>
      <w:numFmt w:val="decimal"/>
      <w:lvlText w:val="%1.%2. "/>
      <w:lvlJc w:val="left"/>
      <w:pPr>
        <w:ind w:left="858" w:hanging="432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. "/>
      <w:lvlJc w:val="left"/>
      <w:pPr>
        <w:ind w:left="1214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0A11EEC"/>
    <w:multiLevelType w:val="hybridMultilevel"/>
    <w:tmpl w:val="EA2C5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EF3A2C"/>
    <w:multiLevelType w:val="hybridMultilevel"/>
    <w:tmpl w:val="E6FE4480"/>
    <w:lvl w:ilvl="0" w:tplc="2FEA9C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DB3BAE"/>
    <w:multiLevelType w:val="multilevel"/>
    <w:tmpl w:val="ABEE7070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3"/>
  </w:num>
  <w:num w:numId="3">
    <w:abstractNumId w:val="45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2"/>
  </w:num>
  <w:num w:numId="13">
    <w:abstractNumId w:val="10"/>
  </w:num>
  <w:num w:numId="14">
    <w:abstractNumId w:val="28"/>
  </w:num>
  <w:num w:numId="15">
    <w:abstractNumId w:val="34"/>
  </w:num>
  <w:num w:numId="16">
    <w:abstractNumId w:val="30"/>
  </w:num>
  <w:num w:numId="17">
    <w:abstractNumId w:val="33"/>
  </w:num>
  <w:num w:numId="18">
    <w:abstractNumId w:val="48"/>
  </w:num>
  <w:num w:numId="19">
    <w:abstractNumId w:val="41"/>
  </w:num>
  <w:num w:numId="20">
    <w:abstractNumId w:val="6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6"/>
  </w:num>
  <w:num w:numId="26">
    <w:abstractNumId w:val="15"/>
  </w:num>
  <w:num w:numId="27">
    <w:abstractNumId w:val="29"/>
  </w:num>
  <w:num w:numId="28">
    <w:abstractNumId w:val="40"/>
  </w:num>
  <w:num w:numId="29">
    <w:abstractNumId w:val="27"/>
  </w:num>
  <w:num w:numId="30">
    <w:abstractNumId w:val="43"/>
  </w:num>
  <w:num w:numId="31">
    <w:abstractNumId w:val="23"/>
  </w:num>
  <w:num w:numId="32">
    <w:abstractNumId w:val="17"/>
  </w:num>
  <w:num w:numId="33">
    <w:abstractNumId w:val="39"/>
  </w:num>
  <w:num w:numId="34">
    <w:abstractNumId w:val="37"/>
  </w:num>
  <w:num w:numId="35">
    <w:abstractNumId w:val="47"/>
  </w:num>
  <w:num w:numId="36">
    <w:abstractNumId w:val="22"/>
  </w:num>
  <w:num w:numId="37">
    <w:abstractNumId w:val="8"/>
  </w:num>
  <w:num w:numId="38">
    <w:abstractNumId w:val="35"/>
  </w:num>
  <w:num w:numId="39">
    <w:abstractNumId w:val="5"/>
  </w:num>
  <w:num w:numId="40">
    <w:abstractNumId w:val="9"/>
  </w:num>
  <w:num w:numId="41">
    <w:abstractNumId w:val="16"/>
  </w:num>
  <w:num w:numId="42">
    <w:abstractNumId w:val="18"/>
  </w:num>
  <w:num w:numId="43">
    <w:abstractNumId w:val="44"/>
  </w:num>
  <w:num w:numId="44">
    <w:abstractNumId w:val="19"/>
  </w:num>
  <w:num w:numId="45">
    <w:abstractNumId w:val="25"/>
  </w:num>
  <w:num w:numId="46">
    <w:abstractNumId w:val="46"/>
  </w:num>
  <w:num w:numId="47">
    <w:abstractNumId w:val="7"/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C14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2BA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040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1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3A3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365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FBD5E-EC6C-4975-8D6A-F8CC260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2D5F5E-76E5-42FE-8948-72AAE1D5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4</cp:revision>
  <cp:lastPrinted>2014-07-22T07:28:00Z</cp:lastPrinted>
  <dcterms:created xsi:type="dcterms:W3CDTF">2015-11-06T13:06:00Z</dcterms:created>
  <dcterms:modified xsi:type="dcterms:W3CDTF">2015-11-30T09:13:00Z</dcterms:modified>
</cp:coreProperties>
</file>