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83D" w:rsidRDefault="0098483D" w:rsidP="0098483D">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8"/>
          <w:szCs w:val="28"/>
        </w:rPr>
        <w:t>Решение и предписание по делу № 1-04-18.1/13  по жалобе ООО «Вектор» на действия ФГУП «ПО «Маяк»</w:t>
      </w:r>
      <w:r>
        <w:rPr>
          <w:rFonts w:ascii="Times New Roman" w:hAnsi="Times New Roman" w:cs="Times New Roman"/>
          <w:sz w:val="28"/>
          <w:szCs w:val="28"/>
        </w:rPr>
        <w:br/>
      </w:r>
    </w:p>
    <w:p w:rsidR="0098483D" w:rsidRDefault="0098483D" w:rsidP="0098483D">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Р Е Ш Е Н И Е</w:t>
      </w:r>
      <w:r>
        <w:rPr>
          <w:rFonts w:ascii="Times New Roman" w:hAnsi="Times New Roman" w:cs="Times New Roman"/>
          <w:sz w:val="24"/>
          <w:szCs w:val="24"/>
        </w:rPr>
        <w:br/>
        <w:t> </w:t>
      </w:r>
      <w:r>
        <w:rPr>
          <w:rFonts w:ascii="Times New Roman" w:hAnsi="Times New Roman" w:cs="Times New Roman"/>
          <w:sz w:val="24"/>
          <w:szCs w:val="24"/>
        </w:rPr>
        <w:br/>
        <w:t>г.  Челябинск,  пр.  Ленина,  59</w:t>
      </w:r>
      <w:r>
        <w:rPr>
          <w:rFonts w:ascii="Times New Roman" w:hAnsi="Times New Roman" w:cs="Times New Roman"/>
          <w:sz w:val="24"/>
          <w:szCs w:val="24"/>
        </w:rPr>
        <w:br/>
        <w:t>Резолютивная часть решения оглашена 21  января 2014  года.</w:t>
      </w:r>
      <w:r>
        <w:rPr>
          <w:rFonts w:ascii="Times New Roman" w:hAnsi="Times New Roman" w:cs="Times New Roman"/>
          <w:sz w:val="24"/>
          <w:szCs w:val="24"/>
        </w:rPr>
        <w:br/>
        <w:t>В полном объеме решение изготовлено 23  января 2014  года.</w:t>
      </w:r>
      <w:r>
        <w:rPr>
          <w:rFonts w:ascii="Times New Roman" w:hAnsi="Times New Roman" w:cs="Times New Roman"/>
          <w:sz w:val="24"/>
          <w:szCs w:val="24"/>
        </w:rPr>
        <w:br/>
        <w:t>Комиссия Управления Федеральной антимонопольной службы по Челябинской области (далее – Челябинское УФАС России)  по рассмотрению жалоб на нарушение процедуры торгов,  иных способов закупок и порядка заключения договоров (далее -  Комиссия)  в составе:</w:t>
      </w:r>
      <w:r>
        <w:rPr>
          <w:rFonts w:ascii="Times New Roman" w:hAnsi="Times New Roman" w:cs="Times New Roman"/>
          <w:sz w:val="24"/>
          <w:szCs w:val="24"/>
        </w:rPr>
        <w:br/>
        <w:t>Председатель Комиссии:</w:t>
      </w:r>
      <w:r>
        <w:rPr>
          <w:rFonts w:ascii="Times New Roman" w:hAnsi="Times New Roman" w:cs="Times New Roman"/>
          <w:sz w:val="24"/>
          <w:szCs w:val="24"/>
        </w:rPr>
        <w:br/>
        <w:t>-  Семенова Е.Г.  – заместитель руководителя Челябинского УФАС России;</w:t>
      </w:r>
      <w:r>
        <w:rPr>
          <w:rFonts w:ascii="Times New Roman" w:hAnsi="Times New Roman" w:cs="Times New Roman"/>
          <w:sz w:val="24"/>
          <w:szCs w:val="24"/>
        </w:rPr>
        <w:br/>
        <w:t>Члены Комиссии</w:t>
      </w:r>
      <w:r>
        <w:rPr>
          <w:rFonts w:ascii="Times New Roman" w:hAnsi="Times New Roman" w:cs="Times New Roman"/>
          <w:sz w:val="24"/>
          <w:szCs w:val="24"/>
        </w:rPr>
        <w:br/>
        <w:t>-  Расторгуева Ю.М.  – начальник отдела антимонопольного контроля Челябинского УФАС России;</w:t>
      </w:r>
      <w:r>
        <w:rPr>
          <w:rFonts w:ascii="Times New Roman" w:hAnsi="Times New Roman" w:cs="Times New Roman"/>
          <w:sz w:val="24"/>
          <w:szCs w:val="24"/>
        </w:rPr>
        <w:br/>
        <w:t>-  Копылов С.А.  – ведущий специалист-эксперт отдела антимонопольного контроля Челябинского УФАС России,</w:t>
      </w:r>
      <w:r>
        <w:rPr>
          <w:rFonts w:ascii="Times New Roman" w:hAnsi="Times New Roman" w:cs="Times New Roman"/>
          <w:sz w:val="24"/>
          <w:szCs w:val="24"/>
        </w:rPr>
        <w:br/>
        <w:t>рассмотрев жалобу № 1-04-18.1/13  ООО «Вектор» на действия (бездействие)  ФГУП «ПО «Маяк»,  выразившиеся в необоснованном объединении разных групп товаров в один лот при проведении открытого аукциона в электронной форме на поставку продуктов питания (извещение № 131220/0491/857),  в присутствии:</w:t>
      </w:r>
      <w:r>
        <w:rPr>
          <w:rFonts w:ascii="Times New Roman" w:hAnsi="Times New Roman" w:cs="Times New Roman"/>
          <w:sz w:val="24"/>
          <w:szCs w:val="24"/>
        </w:rPr>
        <w:br/>
        <w:t>представителей ООО «Вектор»,  ФГУП «ПО «Маяк»,</w:t>
      </w:r>
      <w:r>
        <w:rPr>
          <w:rFonts w:ascii="Times New Roman" w:hAnsi="Times New Roman" w:cs="Times New Roman"/>
          <w:sz w:val="24"/>
          <w:szCs w:val="24"/>
        </w:rPr>
        <w:br/>
        <w:t> </w:t>
      </w:r>
      <w:r>
        <w:rPr>
          <w:rFonts w:ascii="Times New Roman" w:hAnsi="Times New Roman" w:cs="Times New Roman"/>
          <w:sz w:val="24"/>
          <w:szCs w:val="24"/>
        </w:rPr>
        <w:br/>
        <w:t>УСТАНОВИЛА:</w:t>
      </w:r>
      <w:r>
        <w:rPr>
          <w:rFonts w:ascii="Times New Roman" w:hAnsi="Times New Roman" w:cs="Times New Roman"/>
          <w:sz w:val="24"/>
          <w:szCs w:val="24"/>
        </w:rPr>
        <w:br/>
        <w:t> </w:t>
      </w:r>
      <w:r>
        <w:rPr>
          <w:rFonts w:ascii="Times New Roman" w:hAnsi="Times New Roman" w:cs="Times New Roman"/>
          <w:sz w:val="24"/>
          <w:szCs w:val="24"/>
        </w:rPr>
        <w:br/>
        <w:t>В Челябинское УФАС России поступила жалоба ООО «Вектор» (вх.  № 302  от 14.01.2014  года)  на действия (бездействие)  ФГУП «ПО «Маяк»,  выразившиеся в необоснованном объединении разных групп товаров в один лот при проведении открытого аукциона в электронной форме на поставку продуктов питания (извещение № 131220/0491/857),  размещенного на сайте www.zakupki.rosatom.ru</w:t>
      </w:r>
      <w:r>
        <w:rPr>
          <w:rFonts w:ascii="Times New Roman" w:hAnsi="Times New Roman" w:cs="Times New Roman"/>
          <w:sz w:val="24"/>
          <w:szCs w:val="24"/>
        </w:rPr>
        <w:br/>
        <w:t>Комиссия Челябинского УФАС России,  проанализировав представленные документы установила следующее.</w:t>
      </w:r>
      <w:r>
        <w:rPr>
          <w:rFonts w:ascii="Times New Roman" w:hAnsi="Times New Roman" w:cs="Times New Roman"/>
          <w:sz w:val="24"/>
          <w:szCs w:val="24"/>
        </w:rPr>
        <w:br/>
        <w:t>Открытый аукцион в электронной форме на поставку продуктов питания (извещение № 131220/0491/857)  проводился в соответствии с 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07.02.2012  № 37.</w:t>
      </w:r>
      <w:r>
        <w:rPr>
          <w:rFonts w:ascii="Times New Roman" w:hAnsi="Times New Roman" w:cs="Times New Roman"/>
          <w:sz w:val="24"/>
          <w:szCs w:val="24"/>
        </w:rPr>
        <w:br/>
        <w:t>20.12.2013  на официальном сайте www.zakupki.rosatom.ru  опубликованы извещение и документация для проведения открытого аукциона в электронной форме на поставку продуктов питания (извещение № 131220/0491/857).  Начальная (максимальная)  цена:  6  584  952  рублей с НДС.</w:t>
      </w:r>
      <w:r>
        <w:rPr>
          <w:rFonts w:ascii="Times New Roman" w:hAnsi="Times New Roman" w:cs="Times New Roman"/>
          <w:sz w:val="24"/>
          <w:szCs w:val="24"/>
        </w:rPr>
        <w:br/>
        <w:t>Предметом договора является поставка молока,  кисломолочной продукции,  дрожжей,  повидла для нужд ФГУП «ПО «Маяк».</w:t>
      </w:r>
      <w:r>
        <w:rPr>
          <w:rFonts w:ascii="Times New Roman" w:hAnsi="Times New Roman" w:cs="Times New Roman"/>
          <w:sz w:val="24"/>
          <w:szCs w:val="24"/>
        </w:rPr>
        <w:br/>
        <w:t>В разделе 6  технической части документации об аукционе указаны следующие товары.</w:t>
      </w:r>
      <w:r>
        <w:rPr>
          <w:rFonts w:ascii="Times New Roman" w:hAnsi="Times New Roman" w:cs="Times New Roman"/>
          <w:sz w:val="24"/>
          <w:szCs w:val="24"/>
        </w:rPr>
        <w:br/>
        <w:t> </w:t>
      </w:r>
      <w:r>
        <w:rPr>
          <w:rFonts w:ascii="Times New Roman" w:hAnsi="Times New Roman" w:cs="Times New Roman"/>
          <w:sz w:val="24"/>
          <w:szCs w:val="24"/>
        </w:rPr>
        <w:br/>
        <w:t>№ п/п</w:t>
      </w:r>
      <w:r>
        <w:rPr>
          <w:rFonts w:ascii="Times New Roman" w:hAnsi="Times New Roman" w:cs="Times New Roman"/>
          <w:sz w:val="24"/>
          <w:szCs w:val="24"/>
        </w:rPr>
        <w:br/>
        <w:t>Наименование,  характеристика Товара,  марка,  товарный знак</w:t>
      </w:r>
      <w:r>
        <w:rPr>
          <w:rFonts w:ascii="Times New Roman" w:hAnsi="Times New Roman" w:cs="Times New Roman"/>
          <w:sz w:val="24"/>
          <w:szCs w:val="24"/>
        </w:rPr>
        <w:br/>
        <w:t>Ед.  изм</w:t>
      </w:r>
      <w:r>
        <w:rPr>
          <w:rFonts w:ascii="Times New Roman" w:hAnsi="Times New Roman" w:cs="Times New Roman"/>
          <w:sz w:val="24"/>
          <w:szCs w:val="24"/>
        </w:rPr>
        <w:br/>
        <w:t>Кол-во</w:t>
      </w:r>
      <w:r>
        <w:rPr>
          <w:rFonts w:ascii="Times New Roman" w:hAnsi="Times New Roman" w:cs="Times New Roman"/>
          <w:sz w:val="24"/>
          <w:szCs w:val="24"/>
        </w:rPr>
        <w:br/>
        <w:t>пост.</w:t>
      </w:r>
      <w:r>
        <w:rPr>
          <w:rFonts w:ascii="Times New Roman" w:hAnsi="Times New Roman" w:cs="Times New Roman"/>
          <w:sz w:val="24"/>
          <w:szCs w:val="24"/>
        </w:rPr>
        <w:br/>
        <w:t>товара</w:t>
      </w:r>
      <w:r>
        <w:rPr>
          <w:rFonts w:ascii="Times New Roman" w:hAnsi="Times New Roman" w:cs="Times New Roman"/>
          <w:sz w:val="24"/>
          <w:szCs w:val="24"/>
        </w:rPr>
        <w:br/>
        <w:t>Требования к стандартам,  техническим условиям,  и др.  нормативным документам</w:t>
      </w:r>
      <w:r>
        <w:rPr>
          <w:rFonts w:ascii="Times New Roman" w:hAnsi="Times New Roman" w:cs="Times New Roman"/>
          <w:sz w:val="24"/>
          <w:szCs w:val="24"/>
        </w:rPr>
        <w:br/>
      </w:r>
      <w:r>
        <w:rPr>
          <w:rFonts w:ascii="Times New Roman" w:hAnsi="Times New Roman" w:cs="Times New Roman"/>
          <w:sz w:val="24"/>
          <w:szCs w:val="24"/>
        </w:rPr>
        <w:lastRenderedPageBreak/>
        <w:t>Срок поставки Товара</w:t>
      </w:r>
      <w:r>
        <w:rPr>
          <w:rFonts w:ascii="Times New Roman" w:hAnsi="Times New Roman" w:cs="Times New Roman"/>
          <w:sz w:val="24"/>
          <w:szCs w:val="24"/>
        </w:rPr>
        <w:br/>
        <w:t>1</w:t>
      </w:r>
      <w:r>
        <w:rPr>
          <w:rFonts w:ascii="Times New Roman" w:hAnsi="Times New Roman" w:cs="Times New Roman"/>
          <w:sz w:val="24"/>
          <w:szCs w:val="24"/>
        </w:rPr>
        <w:br/>
        <w:t>2</w:t>
      </w:r>
      <w:r>
        <w:rPr>
          <w:rFonts w:ascii="Times New Roman" w:hAnsi="Times New Roman" w:cs="Times New Roman"/>
          <w:sz w:val="24"/>
          <w:szCs w:val="24"/>
        </w:rPr>
        <w:br/>
        <w:t>3</w:t>
      </w:r>
      <w:r>
        <w:rPr>
          <w:rFonts w:ascii="Times New Roman" w:hAnsi="Times New Roman" w:cs="Times New Roman"/>
          <w:sz w:val="24"/>
          <w:szCs w:val="24"/>
        </w:rPr>
        <w:br/>
        <w:t>4</w:t>
      </w:r>
      <w:r>
        <w:rPr>
          <w:rFonts w:ascii="Times New Roman" w:hAnsi="Times New Roman" w:cs="Times New Roman"/>
          <w:sz w:val="24"/>
          <w:szCs w:val="24"/>
        </w:rPr>
        <w:br/>
        <w:t>5</w:t>
      </w:r>
      <w:r>
        <w:rPr>
          <w:rFonts w:ascii="Times New Roman" w:hAnsi="Times New Roman" w:cs="Times New Roman"/>
          <w:sz w:val="24"/>
          <w:szCs w:val="24"/>
        </w:rPr>
        <w:br/>
        <w:t>6</w:t>
      </w:r>
      <w:r>
        <w:rPr>
          <w:rFonts w:ascii="Times New Roman" w:hAnsi="Times New Roman" w:cs="Times New Roman"/>
          <w:sz w:val="24"/>
          <w:szCs w:val="24"/>
        </w:rPr>
        <w:br/>
        <w:t>1</w:t>
      </w:r>
      <w:r>
        <w:rPr>
          <w:rFonts w:ascii="Times New Roman" w:hAnsi="Times New Roman" w:cs="Times New Roman"/>
          <w:sz w:val="24"/>
          <w:szCs w:val="24"/>
        </w:rPr>
        <w:br/>
        <w:t>Молоко питьевое пастеризованное</w:t>
      </w:r>
      <w:r>
        <w:rPr>
          <w:rFonts w:ascii="Times New Roman" w:hAnsi="Times New Roman" w:cs="Times New Roman"/>
          <w:sz w:val="24"/>
          <w:szCs w:val="24"/>
        </w:rPr>
        <w:br/>
        <w:t>ГОСТ Р 52090-2003  жирность 2,5  %,  1л (упаковка:  фин-пак,  с маркировкой,  содержащей сведения,  предусмотренные законодательством)</w:t>
      </w:r>
      <w:r>
        <w:rPr>
          <w:rFonts w:ascii="Times New Roman" w:hAnsi="Times New Roman" w:cs="Times New Roman"/>
          <w:sz w:val="24"/>
          <w:szCs w:val="24"/>
        </w:rPr>
        <w:br/>
        <w:t>Консистенция жидкая,  однородная,  без хлопьев белка и сбившихся комочков жира.</w:t>
      </w:r>
      <w:r>
        <w:rPr>
          <w:rFonts w:ascii="Times New Roman" w:hAnsi="Times New Roman" w:cs="Times New Roman"/>
          <w:sz w:val="24"/>
          <w:szCs w:val="24"/>
        </w:rPr>
        <w:br/>
        <w:t>л</w:t>
      </w:r>
      <w:r>
        <w:rPr>
          <w:rFonts w:ascii="Times New Roman" w:hAnsi="Times New Roman" w:cs="Times New Roman"/>
          <w:sz w:val="24"/>
          <w:szCs w:val="24"/>
        </w:rPr>
        <w:br/>
        <w:t>22300</w:t>
      </w:r>
      <w:r>
        <w:rPr>
          <w:rFonts w:ascii="Times New Roman" w:hAnsi="Times New Roman" w:cs="Times New Roman"/>
          <w:sz w:val="24"/>
          <w:szCs w:val="24"/>
        </w:rPr>
        <w:br/>
        <w:t>Поставляемый товар должен быть российского производства,  Маркировка продукции,  помещенной в потребительскую упаковку,  должна быть четкой и легко читаемой и соответствовать требованиям,  установленным законодательством Российской Федерации в области маркировки пищевых продуктов.  Для продукции,  изготовленной по ТУ необходимо предоставить свидетельство о государственной регистрации.</w:t>
      </w:r>
      <w:r>
        <w:rPr>
          <w:rFonts w:ascii="Times New Roman" w:hAnsi="Times New Roman" w:cs="Times New Roman"/>
          <w:sz w:val="24"/>
          <w:szCs w:val="24"/>
        </w:rPr>
        <w:br/>
        <w:t>Срок годности и условия хранения продуктов питания должны соответствовать:</w:t>
      </w:r>
      <w:r>
        <w:rPr>
          <w:rFonts w:ascii="Times New Roman" w:hAnsi="Times New Roman" w:cs="Times New Roman"/>
          <w:sz w:val="24"/>
          <w:szCs w:val="24"/>
        </w:rPr>
        <w:br/>
        <w:t>1)  СанПиН 2.3.2.1324-03  «Гигиенические требования к срокам годности и условиям хранения пищевых продуктов»;</w:t>
      </w:r>
      <w:r>
        <w:rPr>
          <w:rFonts w:ascii="Times New Roman" w:hAnsi="Times New Roman" w:cs="Times New Roman"/>
          <w:sz w:val="24"/>
          <w:szCs w:val="24"/>
        </w:rPr>
        <w:br/>
        <w:t>2)  СП 2.3.6.1066-01  «Санитарно-эпидемиологические требования к организациям торговли и обороту в них продовольственного сырья и пищевых продуктов».</w:t>
      </w:r>
      <w:r>
        <w:rPr>
          <w:rFonts w:ascii="Times New Roman" w:hAnsi="Times New Roman" w:cs="Times New Roman"/>
          <w:sz w:val="24"/>
          <w:szCs w:val="24"/>
        </w:rPr>
        <w:br/>
        <w:t>Продукция должна быть расфасована и упакована в материалы,  разрешенные для контакта с пищевыми продуктами,  способом,  позволяющим обеспечить сохранность качества и безопасность при хранении,  перевозке и реализации.</w:t>
      </w:r>
      <w:r>
        <w:rPr>
          <w:rFonts w:ascii="Times New Roman" w:hAnsi="Times New Roman" w:cs="Times New Roman"/>
          <w:sz w:val="24"/>
          <w:szCs w:val="24"/>
        </w:rPr>
        <w:br/>
        <w:t>Поставка ежедневно с 07-00  до 10-00  часов.  (местного времени),  по заявке Заказчика.  Поставка,  все виды погрузочно-разгрузочных работ осуществляются силами и средствами Поставщика</w:t>
      </w:r>
      <w:r>
        <w:rPr>
          <w:rFonts w:ascii="Times New Roman" w:hAnsi="Times New Roman" w:cs="Times New Roman"/>
          <w:sz w:val="24"/>
          <w:szCs w:val="24"/>
        </w:rPr>
        <w:br/>
        <w:t>Срок реализации Товара не менее 80%  от общего срока годности.</w:t>
      </w:r>
      <w:r>
        <w:rPr>
          <w:rFonts w:ascii="Times New Roman" w:hAnsi="Times New Roman" w:cs="Times New Roman"/>
          <w:sz w:val="24"/>
          <w:szCs w:val="24"/>
        </w:rPr>
        <w:br/>
        <w:t>В течении одного рабочего дня с момента подписания договора до 30.06.2014г.</w:t>
      </w:r>
      <w:r>
        <w:rPr>
          <w:rFonts w:ascii="Times New Roman" w:hAnsi="Times New Roman" w:cs="Times New Roman"/>
          <w:sz w:val="24"/>
          <w:szCs w:val="24"/>
        </w:rPr>
        <w:br/>
        <w:t>2</w:t>
      </w:r>
      <w:r>
        <w:rPr>
          <w:rFonts w:ascii="Times New Roman" w:hAnsi="Times New Roman" w:cs="Times New Roman"/>
          <w:sz w:val="24"/>
          <w:szCs w:val="24"/>
        </w:rPr>
        <w:br/>
        <w:t>Кефир жирность 3,2%,  1л</w:t>
      </w:r>
      <w:r>
        <w:rPr>
          <w:rFonts w:ascii="Times New Roman" w:hAnsi="Times New Roman" w:cs="Times New Roman"/>
          <w:sz w:val="24"/>
          <w:szCs w:val="24"/>
        </w:rPr>
        <w:br/>
        <w:t>ГОСТ Р 52093-2003  (пюр-пак -  умажные пакеты из жиро водонепроницаемого картона с полимерными покрытиями,  с маркировкой,  содержащей сведения,  предусмотренные законодательством)</w:t>
      </w:r>
      <w:r>
        <w:rPr>
          <w:rFonts w:ascii="Times New Roman" w:hAnsi="Times New Roman" w:cs="Times New Roman"/>
          <w:sz w:val="24"/>
          <w:szCs w:val="24"/>
        </w:rPr>
        <w:br/>
        <w:t>л</w:t>
      </w:r>
      <w:r>
        <w:rPr>
          <w:rFonts w:ascii="Times New Roman" w:hAnsi="Times New Roman" w:cs="Times New Roman"/>
          <w:sz w:val="24"/>
          <w:szCs w:val="24"/>
        </w:rPr>
        <w:br/>
        <w:t>24000</w:t>
      </w:r>
      <w:r>
        <w:rPr>
          <w:rFonts w:ascii="Times New Roman" w:hAnsi="Times New Roman" w:cs="Times New Roman"/>
          <w:sz w:val="24"/>
          <w:szCs w:val="24"/>
        </w:rPr>
        <w:br/>
        <w:t>3</w:t>
      </w:r>
      <w:r>
        <w:rPr>
          <w:rFonts w:ascii="Times New Roman" w:hAnsi="Times New Roman" w:cs="Times New Roman"/>
          <w:sz w:val="24"/>
          <w:szCs w:val="24"/>
        </w:rPr>
        <w:br/>
        <w:t>Сметана жирность 15%  ,  420г</w:t>
      </w:r>
      <w:r>
        <w:rPr>
          <w:rFonts w:ascii="Times New Roman" w:hAnsi="Times New Roman" w:cs="Times New Roman"/>
          <w:sz w:val="24"/>
          <w:szCs w:val="24"/>
        </w:rPr>
        <w:br/>
        <w:t>ГОСТ Р 52092-2003  (стакан пластик,  с маркировкой,  содержащей сведения,  предусмотренные законодательством)  без растительных жиров,  консистенция однородная,  с глянцевой поверхностью</w:t>
      </w:r>
      <w:r>
        <w:rPr>
          <w:rFonts w:ascii="Times New Roman" w:hAnsi="Times New Roman" w:cs="Times New Roman"/>
          <w:sz w:val="24"/>
          <w:szCs w:val="24"/>
        </w:rPr>
        <w:br/>
        <w:t>кг</w:t>
      </w:r>
      <w:r>
        <w:rPr>
          <w:rFonts w:ascii="Times New Roman" w:hAnsi="Times New Roman" w:cs="Times New Roman"/>
          <w:sz w:val="24"/>
          <w:szCs w:val="24"/>
        </w:rPr>
        <w:br/>
        <w:t>12200</w:t>
      </w:r>
      <w:r>
        <w:rPr>
          <w:rFonts w:ascii="Times New Roman" w:hAnsi="Times New Roman" w:cs="Times New Roman"/>
          <w:sz w:val="24"/>
          <w:szCs w:val="24"/>
        </w:rPr>
        <w:br/>
        <w:t>4</w:t>
      </w:r>
      <w:r>
        <w:rPr>
          <w:rFonts w:ascii="Times New Roman" w:hAnsi="Times New Roman" w:cs="Times New Roman"/>
          <w:sz w:val="24"/>
          <w:szCs w:val="24"/>
        </w:rPr>
        <w:br/>
        <w:t>Творог жирность 9%  ГОСТ Р 52096-2003  250г (упаковка – фольга,  с маркировкой,  содержащей сведения,  предусмотренные законодательством)</w:t>
      </w:r>
      <w:r>
        <w:rPr>
          <w:rFonts w:ascii="Times New Roman" w:hAnsi="Times New Roman" w:cs="Times New Roman"/>
          <w:sz w:val="24"/>
          <w:szCs w:val="24"/>
        </w:rPr>
        <w:br/>
        <w:t>без растительных жиров,  цвет равномерный по всей массе,  консистенция мягкая</w:t>
      </w:r>
      <w:r>
        <w:rPr>
          <w:rFonts w:ascii="Times New Roman" w:hAnsi="Times New Roman" w:cs="Times New Roman"/>
          <w:sz w:val="24"/>
          <w:szCs w:val="24"/>
        </w:rPr>
        <w:br/>
        <w:t>кг</w:t>
      </w:r>
      <w:r>
        <w:rPr>
          <w:rFonts w:ascii="Times New Roman" w:hAnsi="Times New Roman" w:cs="Times New Roman"/>
          <w:sz w:val="24"/>
          <w:szCs w:val="24"/>
        </w:rPr>
        <w:br/>
        <w:t>3900</w:t>
      </w:r>
      <w:r>
        <w:rPr>
          <w:rFonts w:ascii="Times New Roman" w:hAnsi="Times New Roman" w:cs="Times New Roman"/>
          <w:sz w:val="24"/>
          <w:szCs w:val="24"/>
        </w:rPr>
        <w:br/>
        <w:t> </w:t>
      </w:r>
      <w:r>
        <w:rPr>
          <w:rFonts w:ascii="Times New Roman" w:hAnsi="Times New Roman" w:cs="Times New Roman"/>
          <w:sz w:val="24"/>
          <w:szCs w:val="24"/>
        </w:rPr>
        <w:br/>
        <w:t>5</w:t>
      </w:r>
      <w:r>
        <w:rPr>
          <w:rFonts w:ascii="Times New Roman" w:hAnsi="Times New Roman" w:cs="Times New Roman"/>
          <w:sz w:val="24"/>
          <w:szCs w:val="24"/>
        </w:rPr>
        <w:br/>
      </w:r>
      <w:r>
        <w:rPr>
          <w:rFonts w:ascii="Times New Roman" w:hAnsi="Times New Roman" w:cs="Times New Roman"/>
          <w:sz w:val="24"/>
          <w:szCs w:val="24"/>
        </w:rPr>
        <w:lastRenderedPageBreak/>
        <w:t>Сыр твердый «Голландский»,  жирность не менее 45%</w:t>
      </w:r>
      <w:r>
        <w:rPr>
          <w:rFonts w:ascii="Times New Roman" w:hAnsi="Times New Roman" w:cs="Times New Roman"/>
          <w:sz w:val="24"/>
          <w:szCs w:val="24"/>
        </w:rPr>
        <w:br/>
        <w:t>ГОСТ Р 52686-2006</w:t>
      </w:r>
      <w:r>
        <w:rPr>
          <w:rFonts w:ascii="Times New Roman" w:hAnsi="Times New Roman" w:cs="Times New Roman"/>
          <w:sz w:val="24"/>
          <w:szCs w:val="24"/>
        </w:rPr>
        <w:br/>
        <w:t>брус,  круг не менее 3,0  кг и не более 8,0  кг</w:t>
      </w:r>
      <w:r>
        <w:rPr>
          <w:rFonts w:ascii="Times New Roman" w:hAnsi="Times New Roman" w:cs="Times New Roman"/>
          <w:sz w:val="24"/>
          <w:szCs w:val="24"/>
        </w:rPr>
        <w:br/>
        <w:t>Качество в соответствии с № 88-ФЗ от 12.06.2008.  Острые вкус и аромат,  слегка кисловатые,  свойственные данному вида сыра,  без постороннего привкуса и запаха.  Тесто пластичное,  слегка ломкое,  рисунок мелкий,  корка покрыта парафиновой смесью или полимерной пленкой,  поверхность без повреждений.  Цвет от белого до светло-кремового.  Без добавок,  ароматизаторов,  улучшителей вкуса и искусственных красителей.</w:t>
      </w:r>
      <w:r>
        <w:rPr>
          <w:rFonts w:ascii="Times New Roman" w:hAnsi="Times New Roman" w:cs="Times New Roman"/>
          <w:sz w:val="24"/>
          <w:szCs w:val="24"/>
        </w:rPr>
        <w:br/>
        <w:t>кг</w:t>
      </w:r>
      <w:r>
        <w:rPr>
          <w:rFonts w:ascii="Times New Roman" w:hAnsi="Times New Roman" w:cs="Times New Roman"/>
          <w:sz w:val="24"/>
          <w:szCs w:val="24"/>
        </w:rPr>
        <w:br/>
        <w:t>3800</w:t>
      </w:r>
      <w:r>
        <w:rPr>
          <w:rFonts w:ascii="Times New Roman" w:hAnsi="Times New Roman" w:cs="Times New Roman"/>
          <w:sz w:val="24"/>
          <w:szCs w:val="24"/>
        </w:rPr>
        <w:br/>
        <w:t> </w:t>
      </w:r>
      <w:r>
        <w:rPr>
          <w:rFonts w:ascii="Times New Roman" w:hAnsi="Times New Roman" w:cs="Times New Roman"/>
          <w:sz w:val="24"/>
          <w:szCs w:val="24"/>
        </w:rPr>
        <w:br/>
        <w:t>6</w:t>
      </w:r>
      <w:r>
        <w:rPr>
          <w:rFonts w:ascii="Times New Roman" w:hAnsi="Times New Roman" w:cs="Times New Roman"/>
          <w:sz w:val="24"/>
          <w:szCs w:val="24"/>
        </w:rPr>
        <w:br/>
        <w:t>Повидло яблочное нестерилизованное 1  сорта (упаковка от 10-30  кг)</w:t>
      </w:r>
      <w:r>
        <w:rPr>
          <w:rFonts w:ascii="Times New Roman" w:hAnsi="Times New Roman" w:cs="Times New Roman"/>
          <w:sz w:val="24"/>
          <w:szCs w:val="24"/>
        </w:rPr>
        <w:br/>
        <w:t>ГОСТ Р 51934-2002</w:t>
      </w:r>
      <w:r>
        <w:rPr>
          <w:rFonts w:ascii="Times New Roman" w:hAnsi="Times New Roman" w:cs="Times New Roman"/>
          <w:sz w:val="24"/>
          <w:szCs w:val="24"/>
        </w:rPr>
        <w:br/>
        <w:t>Однородная протертая масса без семян,  вкус кисловато-сладкий,  свойственный пюре из которого оно приготовлено,  масса плотная,  сохраняющая очерченные грани при разрезании</w:t>
      </w:r>
      <w:r>
        <w:rPr>
          <w:rFonts w:ascii="Times New Roman" w:hAnsi="Times New Roman" w:cs="Times New Roman"/>
          <w:sz w:val="24"/>
          <w:szCs w:val="24"/>
        </w:rPr>
        <w:br/>
        <w:t>кг</w:t>
      </w:r>
      <w:r>
        <w:rPr>
          <w:rFonts w:ascii="Times New Roman" w:hAnsi="Times New Roman" w:cs="Times New Roman"/>
          <w:sz w:val="24"/>
          <w:szCs w:val="24"/>
        </w:rPr>
        <w:br/>
        <w:t>3000</w:t>
      </w:r>
      <w:r>
        <w:rPr>
          <w:rFonts w:ascii="Times New Roman" w:hAnsi="Times New Roman" w:cs="Times New Roman"/>
          <w:sz w:val="24"/>
          <w:szCs w:val="24"/>
        </w:rPr>
        <w:br/>
        <w:t> </w:t>
      </w:r>
      <w:r>
        <w:rPr>
          <w:rFonts w:ascii="Times New Roman" w:hAnsi="Times New Roman" w:cs="Times New Roman"/>
          <w:sz w:val="24"/>
          <w:szCs w:val="24"/>
        </w:rPr>
        <w:br/>
        <w:t>7</w:t>
      </w:r>
      <w:r>
        <w:rPr>
          <w:rFonts w:ascii="Times New Roman" w:hAnsi="Times New Roman" w:cs="Times New Roman"/>
          <w:sz w:val="24"/>
          <w:szCs w:val="24"/>
        </w:rPr>
        <w:br/>
        <w:t>Дрожжи хлебопекарные прессованные «Рекорд»,  пачка 1кг</w:t>
      </w:r>
      <w:r>
        <w:rPr>
          <w:rFonts w:ascii="Times New Roman" w:hAnsi="Times New Roman" w:cs="Times New Roman"/>
          <w:sz w:val="24"/>
          <w:szCs w:val="24"/>
        </w:rPr>
        <w:br/>
        <w:t>кг</w:t>
      </w:r>
      <w:r>
        <w:rPr>
          <w:rFonts w:ascii="Times New Roman" w:hAnsi="Times New Roman" w:cs="Times New Roman"/>
          <w:sz w:val="24"/>
          <w:szCs w:val="24"/>
        </w:rPr>
        <w:br/>
        <w:t>540</w:t>
      </w:r>
      <w:r>
        <w:rPr>
          <w:rFonts w:ascii="Times New Roman" w:hAnsi="Times New Roman" w:cs="Times New Roman"/>
          <w:sz w:val="24"/>
          <w:szCs w:val="24"/>
        </w:rPr>
        <w:br/>
        <w:t> </w:t>
      </w:r>
      <w:r>
        <w:rPr>
          <w:rFonts w:ascii="Times New Roman" w:hAnsi="Times New Roman" w:cs="Times New Roman"/>
          <w:sz w:val="24"/>
          <w:szCs w:val="24"/>
        </w:rPr>
        <w:br/>
        <w:t>8</w:t>
      </w:r>
      <w:r>
        <w:rPr>
          <w:rFonts w:ascii="Times New Roman" w:hAnsi="Times New Roman" w:cs="Times New Roman"/>
          <w:sz w:val="24"/>
          <w:szCs w:val="24"/>
        </w:rPr>
        <w:br/>
        <w:t>Сыр Маасдам 45%  круг,  Германия или эквивалент</w:t>
      </w:r>
      <w:r>
        <w:rPr>
          <w:rFonts w:ascii="Times New Roman" w:hAnsi="Times New Roman" w:cs="Times New Roman"/>
          <w:sz w:val="24"/>
          <w:szCs w:val="24"/>
        </w:rPr>
        <w:br/>
        <w:t>кг</w:t>
      </w:r>
      <w:r>
        <w:rPr>
          <w:rFonts w:ascii="Times New Roman" w:hAnsi="Times New Roman" w:cs="Times New Roman"/>
          <w:sz w:val="24"/>
          <w:szCs w:val="24"/>
        </w:rPr>
        <w:br/>
        <w:t>10</w:t>
      </w:r>
      <w:r>
        <w:rPr>
          <w:rFonts w:ascii="Times New Roman" w:hAnsi="Times New Roman" w:cs="Times New Roman"/>
          <w:sz w:val="24"/>
          <w:szCs w:val="24"/>
        </w:rPr>
        <w:br/>
        <w:t>9</w:t>
      </w:r>
      <w:r>
        <w:rPr>
          <w:rFonts w:ascii="Times New Roman" w:hAnsi="Times New Roman" w:cs="Times New Roman"/>
          <w:sz w:val="24"/>
          <w:szCs w:val="24"/>
        </w:rPr>
        <w:br/>
        <w:t>Сыр Пармезан «Джюгас» 40%  или эквивалент</w:t>
      </w:r>
      <w:r>
        <w:rPr>
          <w:rFonts w:ascii="Times New Roman" w:hAnsi="Times New Roman" w:cs="Times New Roman"/>
          <w:sz w:val="24"/>
          <w:szCs w:val="24"/>
        </w:rPr>
        <w:br/>
        <w:t>кг</w:t>
      </w:r>
      <w:r>
        <w:rPr>
          <w:rFonts w:ascii="Times New Roman" w:hAnsi="Times New Roman" w:cs="Times New Roman"/>
          <w:sz w:val="24"/>
          <w:szCs w:val="24"/>
        </w:rPr>
        <w:br/>
        <w:t>10</w:t>
      </w:r>
      <w:r>
        <w:rPr>
          <w:rFonts w:ascii="Times New Roman" w:hAnsi="Times New Roman" w:cs="Times New Roman"/>
          <w:sz w:val="24"/>
          <w:szCs w:val="24"/>
        </w:rPr>
        <w:br/>
        <w:t>10</w:t>
      </w:r>
      <w:r>
        <w:rPr>
          <w:rFonts w:ascii="Times New Roman" w:hAnsi="Times New Roman" w:cs="Times New Roman"/>
          <w:sz w:val="24"/>
          <w:szCs w:val="24"/>
        </w:rPr>
        <w:br/>
        <w:t>Сыр Олтермани 29%  Финляндия 250г</w:t>
      </w:r>
      <w:r>
        <w:rPr>
          <w:rFonts w:ascii="Times New Roman" w:hAnsi="Times New Roman" w:cs="Times New Roman"/>
          <w:sz w:val="24"/>
          <w:szCs w:val="24"/>
        </w:rPr>
        <w:br/>
        <w:t>или эквивалент</w:t>
      </w:r>
      <w:r>
        <w:rPr>
          <w:rFonts w:ascii="Times New Roman" w:hAnsi="Times New Roman" w:cs="Times New Roman"/>
          <w:sz w:val="24"/>
          <w:szCs w:val="24"/>
        </w:rPr>
        <w:br/>
        <w:t>шт</w:t>
      </w:r>
      <w:r>
        <w:rPr>
          <w:rFonts w:ascii="Times New Roman" w:hAnsi="Times New Roman" w:cs="Times New Roman"/>
          <w:sz w:val="24"/>
          <w:szCs w:val="24"/>
        </w:rPr>
        <w:br/>
        <w:t>10</w:t>
      </w:r>
      <w:r>
        <w:rPr>
          <w:rFonts w:ascii="Times New Roman" w:hAnsi="Times New Roman" w:cs="Times New Roman"/>
          <w:sz w:val="24"/>
          <w:szCs w:val="24"/>
        </w:rPr>
        <w:br/>
        <w:t>11</w:t>
      </w:r>
      <w:r>
        <w:rPr>
          <w:rFonts w:ascii="Times New Roman" w:hAnsi="Times New Roman" w:cs="Times New Roman"/>
          <w:sz w:val="24"/>
          <w:szCs w:val="24"/>
        </w:rPr>
        <w:br/>
        <w:t>Сыр Кастелло Дана Блю 100г Арла или эквивалент</w:t>
      </w:r>
      <w:r>
        <w:rPr>
          <w:rFonts w:ascii="Times New Roman" w:hAnsi="Times New Roman" w:cs="Times New Roman"/>
          <w:sz w:val="24"/>
          <w:szCs w:val="24"/>
        </w:rPr>
        <w:br/>
        <w:t>шт</w:t>
      </w:r>
      <w:r>
        <w:rPr>
          <w:rFonts w:ascii="Times New Roman" w:hAnsi="Times New Roman" w:cs="Times New Roman"/>
          <w:sz w:val="24"/>
          <w:szCs w:val="24"/>
        </w:rPr>
        <w:br/>
        <w:t>10</w:t>
      </w:r>
      <w:r>
        <w:rPr>
          <w:rFonts w:ascii="Times New Roman" w:hAnsi="Times New Roman" w:cs="Times New Roman"/>
          <w:sz w:val="24"/>
          <w:szCs w:val="24"/>
        </w:rPr>
        <w:br/>
        <w:t>12</w:t>
      </w:r>
      <w:r>
        <w:rPr>
          <w:rFonts w:ascii="Times New Roman" w:hAnsi="Times New Roman" w:cs="Times New Roman"/>
          <w:sz w:val="24"/>
          <w:szCs w:val="24"/>
        </w:rPr>
        <w:br/>
        <w:t>Сыр творожный Натура сливочный 150  г 70%  Арла или эквивалент</w:t>
      </w:r>
      <w:r>
        <w:rPr>
          <w:rFonts w:ascii="Times New Roman" w:hAnsi="Times New Roman" w:cs="Times New Roman"/>
          <w:sz w:val="24"/>
          <w:szCs w:val="24"/>
        </w:rPr>
        <w:br/>
        <w:t>шт</w:t>
      </w:r>
      <w:r>
        <w:rPr>
          <w:rFonts w:ascii="Times New Roman" w:hAnsi="Times New Roman" w:cs="Times New Roman"/>
          <w:sz w:val="24"/>
          <w:szCs w:val="24"/>
        </w:rPr>
        <w:br/>
        <w:t>10</w:t>
      </w:r>
      <w:r>
        <w:rPr>
          <w:rFonts w:ascii="Times New Roman" w:hAnsi="Times New Roman" w:cs="Times New Roman"/>
          <w:sz w:val="24"/>
          <w:szCs w:val="24"/>
        </w:rPr>
        <w:br/>
        <w:t>13</w:t>
      </w:r>
      <w:r>
        <w:rPr>
          <w:rFonts w:ascii="Times New Roman" w:hAnsi="Times New Roman" w:cs="Times New Roman"/>
          <w:sz w:val="24"/>
          <w:szCs w:val="24"/>
        </w:rPr>
        <w:br/>
        <w:t>Сливки порционные 10г</w:t>
      </w:r>
      <w:r>
        <w:rPr>
          <w:rFonts w:ascii="Times New Roman" w:hAnsi="Times New Roman" w:cs="Times New Roman"/>
          <w:sz w:val="24"/>
          <w:szCs w:val="24"/>
        </w:rPr>
        <w:br/>
        <w:t>шт</w:t>
      </w:r>
      <w:r>
        <w:rPr>
          <w:rFonts w:ascii="Times New Roman" w:hAnsi="Times New Roman" w:cs="Times New Roman"/>
          <w:sz w:val="24"/>
          <w:szCs w:val="24"/>
        </w:rPr>
        <w:br/>
        <w:t>200</w:t>
      </w:r>
      <w:r>
        <w:rPr>
          <w:rFonts w:ascii="Times New Roman" w:hAnsi="Times New Roman" w:cs="Times New Roman"/>
          <w:sz w:val="24"/>
          <w:szCs w:val="24"/>
        </w:rPr>
        <w:br/>
        <w:t>Дата,  время начала срока подачи заявок:  с момента размещения извещения № 131220/0491/857.</w:t>
      </w:r>
      <w:r>
        <w:rPr>
          <w:rFonts w:ascii="Times New Roman" w:hAnsi="Times New Roman" w:cs="Times New Roman"/>
          <w:sz w:val="24"/>
          <w:szCs w:val="24"/>
        </w:rPr>
        <w:br/>
        <w:t xml:space="preserve">Дата,  время окончания срока подачи заявок:  䋚» января 2014  года в 07:00  по </w:t>
      </w:r>
      <w:r>
        <w:rPr>
          <w:rFonts w:ascii="Times New Roman" w:hAnsi="Times New Roman" w:cs="Times New Roman"/>
          <w:sz w:val="24"/>
          <w:szCs w:val="24"/>
        </w:rPr>
        <w:lastRenderedPageBreak/>
        <w:t>московскому времени.</w:t>
      </w:r>
      <w:r>
        <w:rPr>
          <w:rFonts w:ascii="Times New Roman" w:hAnsi="Times New Roman" w:cs="Times New Roman"/>
          <w:sz w:val="24"/>
          <w:szCs w:val="24"/>
        </w:rPr>
        <w:br/>
        <w:t>Дата проведения отборочной стадии рассмотрения первых частей заявок на участие в аукционе:  䋜» января 2014  года,  17:00  по московскому времени.</w:t>
      </w:r>
      <w:r>
        <w:rPr>
          <w:rFonts w:ascii="Times New Roman" w:hAnsi="Times New Roman" w:cs="Times New Roman"/>
          <w:sz w:val="24"/>
          <w:szCs w:val="24"/>
        </w:rPr>
        <w:br/>
        <w:t>Дата и место подведения итогов аукциона:  䋠» января 2014  года,  10:00  часов по по московскому времени.</w:t>
      </w:r>
      <w:r>
        <w:rPr>
          <w:rFonts w:ascii="Times New Roman" w:hAnsi="Times New Roman" w:cs="Times New Roman"/>
          <w:sz w:val="24"/>
          <w:szCs w:val="24"/>
        </w:rPr>
        <w:br/>
        <w:t>По результатам открытия доступа 14.01.2014  к первым частям заявок на участие в открытом аукционе подана 1  заявка,  которой ЭТП АКД автоматически присвоен следующий порядковый номер 4223_А</w:t>
      </w:r>
      <w:r>
        <w:rPr>
          <w:rFonts w:ascii="Cambria Math" w:hAnsi="Cambria Math" w:cs="Cambria Math"/>
          <w:sz w:val="24"/>
          <w:szCs w:val="24"/>
        </w:rPr>
        <w:t>⤉</w:t>
      </w:r>
      <w:r>
        <w:rPr>
          <w:rFonts w:ascii="Times New Roman" w:hAnsi="Times New Roman" w:cs="Times New Roman"/>
          <w:sz w:val="24"/>
          <w:szCs w:val="24"/>
        </w:rPr>
        <w:t>.  В соответствии с регламентом ЭТП,  разделом 17  Единого отраслевого стандарта закупок (положение о закупке)  государственной корпорации по атомной энергии «РОСАТОМ»,  пунктом 15.6.10  указанного положения ЭТП был открыт доступ ко второй части заявки.  Единственная заявка поступила от ИП .</w:t>
      </w:r>
      <w:r>
        <w:rPr>
          <w:rFonts w:ascii="Times New Roman" w:hAnsi="Times New Roman" w:cs="Times New Roman"/>
          <w:sz w:val="24"/>
          <w:szCs w:val="24"/>
        </w:rPr>
        <w:br/>
        <w:t>В связи с тем,  что после окончания срока подачи заявок на участие в аукционе поступила только одна заявка,  то в соответствии с подпунктом «А» пункта 13.5.1  Единого отраслевого стандарта закупок (положение о закупке)  государственной корпорации по атомной энергии «РОСАТОМ» открытый аукцион признан несостоявшимся.</w:t>
      </w:r>
      <w:r>
        <w:rPr>
          <w:rFonts w:ascii="Times New Roman" w:hAnsi="Times New Roman" w:cs="Times New Roman"/>
          <w:sz w:val="24"/>
          <w:szCs w:val="24"/>
        </w:rPr>
        <w:br/>
        <w:t>14.01.2014  в связи с поступлением жалобы ООО «Вектор» на действия ФГУП «ПО «Маяк» процедура торгов была приостановлена.</w:t>
      </w:r>
      <w:r>
        <w:rPr>
          <w:rFonts w:ascii="Times New Roman" w:hAnsi="Times New Roman" w:cs="Times New Roman"/>
          <w:sz w:val="24"/>
          <w:szCs w:val="24"/>
        </w:rPr>
        <w:br/>
        <w:t>На заседании Комиссии Челябинского УФАС России представитель ООО «Вектор» пояснил,  что ФГУП «ПО «Маяк»,  объединив в аукционной документации (Раздел 6  Техническая часть)  в один лот поставку молока,  кисломолочную продукцию,  дрожжи,  повидло,  нарушило его права,  поскольку не позволило ООО «Вектор»,  поставляющему исключительно молоко,  поучаствовать в указанном аукционе.</w:t>
      </w:r>
      <w:r>
        <w:rPr>
          <w:rFonts w:ascii="Times New Roman" w:hAnsi="Times New Roman" w:cs="Times New Roman"/>
          <w:sz w:val="24"/>
          <w:szCs w:val="24"/>
        </w:rPr>
        <w:br/>
        <w:t>Представитель ФГУП «ПО «Маяк» на заседании Комиссии пояснил следующее.</w:t>
      </w:r>
      <w:r>
        <w:rPr>
          <w:rFonts w:ascii="Times New Roman" w:hAnsi="Times New Roman" w:cs="Times New Roman"/>
          <w:sz w:val="24"/>
          <w:szCs w:val="24"/>
        </w:rPr>
        <w:br/>
        <w:t>Предметом рассматриваемого аукциона является закупка продуктов питания.  В составе лота отсутствует продукция,  технологически и функционально не связанная с товарами,  поставка которых является предметом аукциона,  что не нарушает положения действующего законодательства.  ФГУП «ПО «Маяк» считает,  что в рассматриваемом случае не существует препятствий технологического или экономического характера,  не позволяющих провести одну процедуру для закупки всего объема требуемой продукции.</w:t>
      </w:r>
      <w:r>
        <w:rPr>
          <w:rFonts w:ascii="Times New Roman" w:hAnsi="Times New Roman" w:cs="Times New Roman"/>
          <w:sz w:val="24"/>
          <w:szCs w:val="24"/>
        </w:rPr>
        <w:br/>
        <w:t>Изучив материалы дела,  заслушав пояснения сторон,  Комиссия Челябинского УФАС России пришла к выводу о наличии в действиях ФГУП «ПО «Маяк» нарушения подпункта 2  пункта 1  статьи 3  Федерального закона от 18.07.2011  № 223-ФЗ «О закупках товаров,  работ,  услуг отдельными видами юридических лиц» по следующим основаниям.</w:t>
      </w:r>
      <w:r>
        <w:rPr>
          <w:rFonts w:ascii="Times New Roman" w:hAnsi="Times New Roman" w:cs="Times New Roman"/>
          <w:sz w:val="24"/>
          <w:szCs w:val="24"/>
        </w:rPr>
        <w:br/>
        <w:t>В соответствии с подпунктом 2  пункта 1  статьи 3  Федерального закона от 18.07.2011  № 223-ФЗ «О закупках товаров,  работ,  услуг отдельными видами юридических лиц» при закупке товаров,  работ,  услуг заказчики руководствуются принципами равноправия,  справедливости,  отсутствием дискриминации и необоснованных ограничений конкуренции по отношению к участникам закупки.</w:t>
      </w:r>
      <w:r>
        <w:rPr>
          <w:rFonts w:ascii="Times New Roman" w:hAnsi="Times New Roman" w:cs="Times New Roman"/>
          <w:sz w:val="24"/>
          <w:szCs w:val="24"/>
        </w:rPr>
        <w:br/>
        <w:t>Согласно статье 4  Закона о защите конкуренции товары,  которые могут быть сравнимы по их функциональному назначению,  применению,  качественным и техническим характеристикам таким образом,  что приобретатель заменяет или готов заменить один товар другим при потреблении (в том числе производственном),  являются взаимозаменяемыми товарами.</w:t>
      </w:r>
      <w:r>
        <w:rPr>
          <w:rFonts w:ascii="Times New Roman" w:hAnsi="Times New Roman" w:cs="Times New Roman"/>
          <w:sz w:val="24"/>
          <w:szCs w:val="24"/>
        </w:rPr>
        <w:br/>
        <w:t>Выявление товаров,  потенциально являющихся взаимозаменяемыми для данного товара,  осуществляется путем:  экспертных оценок;  анализа сопоставимых по существенным свойствам товаров,  входящих вместе с рассматриваемым товаром в одну классификационную группу одного из общероссийских классификаторов видов экономической деятельности,  продукции или услуг (пункт 3.6  Порядка проведения анализа состояния конкуренции на товарном рынке,  утвержденного Приказом Федеральной антимонопольной службы от 28  апреля 2010  года № 220  «Об утверждении порядка проведения анализа состояния конкуренции на товарном рынке»).</w:t>
      </w:r>
      <w:r>
        <w:rPr>
          <w:rFonts w:ascii="Times New Roman" w:hAnsi="Times New Roman" w:cs="Times New Roman"/>
          <w:sz w:val="24"/>
          <w:szCs w:val="24"/>
        </w:rPr>
        <w:br/>
        <w:t xml:space="preserve">Согласно Общероссийскому классификатору продукции ОК 005-93,  утвержденному Постановлением Госстандарта РФ от 30.12.1993  года № 301,  продукты питания </w:t>
      </w:r>
      <w:r>
        <w:rPr>
          <w:rFonts w:ascii="Times New Roman" w:hAnsi="Times New Roman" w:cs="Times New Roman"/>
          <w:sz w:val="24"/>
          <w:szCs w:val="24"/>
        </w:rPr>
        <w:lastRenderedPageBreak/>
        <w:t>подразделяются на отдельные группы.  Так,  например:</w:t>
      </w:r>
      <w:r>
        <w:rPr>
          <w:rFonts w:ascii="Times New Roman" w:hAnsi="Times New Roman" w:cs="Times New Roman"/>
          <w:sz w:val="24"/>
          <w:szCs w:val="24"/>
        </w:rPr>
        <w:br/>
        <w:t>-  Группа 䌨 2000» Продукция молочной и маслосыродельной промышленности,  в состав которой входят молоко и молочные продукты,  кисломолочная продукция,  йогурт 6%-ной жирности,  сметана 25%-ной жирности и т. д.</w:t>
      </w:r>
      <w:r>
        <w:rPr>
          <w:rFonts w:ascii="Times New Roman" w:hAnsi="Times New Roman" w:cs="Times New Roman"/>
          <w:sz w:val="24"/>
          <w:szCs w:val="24"/>
        </w:rPr>
        <w:br/>
        <w:t>-  Группа 䊰» Продукция ликеро-водочной,  спиртовой,  пивоваренной,  производства безалкогольных напитков,  крахмало-паточной промышленности в т.ч.  Дрожжи хлебопекарные /  прессованные расфасованные (код 91  8251).</w:t>
      </w:r>
      <w:r>
        <w:rPr>
          <w:rFonts w:ascii="Times New Roman" w:hAnsi="Times New Roman" w:cs="Times New Roman"/>
          <w:sz w:val="24"/>
          <w:szCs w:val="24"/>
        </w:rPr>
        <w:br/>
        <w:t>-  Группа «Консервы фруктовые и фруктово-овощные.  Соки,  нектары,  морсы,  напитки сокосодержащие,  пюре,  мякоть фруктовые и фруктово-овощные.  Клетки цитрусовых фруктов в т.ч.  Повидло,  желе,  соусы,  пасты,  приправы.  Фрукты протертые или дробленые с сахаром.  Пюре и мякоть фруктовые и фруктово-овощные.  Клетки цитрусовых фруктов (код 91  6320).</w:t>
      </w:r>
      <w:r>
        <w:rPr>
          <w:rFonts w:ascii="Times New Roman" w:hAnsi="Times New Roman" w:cs="Times New Roman"/>
          <w:sz w:val="24"/>
          <w:szCs w:val="24"/>
        </w:rPr>
        <w:br/>
        <w:t>Таким образом,  в аукционной документации содержатся указания на поставку в рамках одного лота различных видов товаров,  относящихся к разным группам.  Более того,  данные товары производятся различными товаропроизводителями.</w:t>
      </w:r>
      <w:r>
        <w:rPr>
          <w:rFonts w:ascii="Times New Roman" w:hAnsi="Times New Roman" w:cs="Times New Roman"/>
          <w:sz w:val="24"/>
          <w:szCs w:val="24"/>
        </w:rPr>
        <w:br/>
        <w:t>Согласно пункту 4.1.1  аукционной документации в случае,  если разделом 6  «ТЕХНИЧЕСКАЯ ЧАСТЬ» предусмотрена поставка/выполнение/оказание двух или более видов товаров/работ/услуг,  участник аукциона в составе первой части заявки на участие в аукционе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4.18.9.  При этом указанные в заявке начальные (максимальные)  цены должны учитывать установленный в пункте 10  раздела 5  «Информационная карта аукциона» и Частью 2  порядок формирования цены договора.</w:t>
      </w:r>
      <w:r>
        <w:rPr>
          <w:rFonts w:ascii="Times New Roman" w:hAnsi="Times New Roman" w:cs="Times New Roman"/>
          <w:sz w:val="24"/>
          <w:szCs w:val="24"/>
        </w:rPr>
        <w:br/>
        <w:t>В соответствии с пунктом 15.7.4  Единого отраслевого стандарта закупок (положение о закупке)  государственной корпорации по атомной энергии «РОСАТОМ» в рамках рассмотрения первых частей заявок выполняются следующие действия:</w:t>
      </w:r>
      <w:r>
        <w:rPr>
          <w:rFonts w:ascii="Times New Roman" w:hAnsi="Times New Roman" w:cs="Times New Roman"/>
          <w:sz w:val="24"/>
          <w:szCs w:val="24"/>
        </w:rPr>
        <w:br/>
        <w:t>проверка состава и содержания первых частей заявок на соответствие требованиям аукционной документации;</w:t>
      </w:r>
      <w:r>
        <w:rPr>
          <w:rFonts w:ascii="Times New Roman" w:hAnsi="Times New Roman" w:cs="Times New Roman"/>
          <w:sz w:val="24"/>
          <w:szCs w:val="24"/>
        </w:rPr>
        <w:br/>
        <w:t>проверка достоверности сведений и документов,  поданных в составе первой части заявки;</w:t>
      </w:r>
      <w:r>
        <w:rPr>
          <w:rFonts w:ascii="Times New Roman" w:hAnsi="Times New Roman" w:cs="Times New Roman"/>
          <w:sz w:val="24"/>
          <w:szCs w:val="24"/>
        </w:rPr>
        <w:br/>
        <w:t>проверка предлагаемой продукции и договорных условий на соответствие требованиям аукционной документации;</w:t>
      </w:r>
      <w:r>
        <w:rPr>
          <w:rFonts w:ascii="Times New Roman" w:hAnsi="Times New Roman" w:cs="Times New Roman"/>
          <w:sz w:val="24"/>
          <w:szCs w:val="24"/>
        </w:rPr>
        <w:br/>
        <w:t>проверка наличия начальных (максимальных)  цен по каждому виду товара (единичных расценок по каждому виду работ или услуг),  установленных в случае и в порядке согласно пп.  «ж» п.  15.3.4;</w:t>
      </w:r>
      <w:r>
        <w:rPr>
          <w:rFonts w:ascii="Times New Roman" w:hAnsi="Times New Roman" w:cs="Times New Roman"/>
          <w:sz w:val="24"/>
          <w:szCs w:val="24"/>
        </w:rPr>
        <w:br/>
        <w:t>принятие решения об итогах рассмотрения первых частей заявок (п.  15.7.5).</w:t>
      </w:r>
      <w:r>
        <w:rPr>
          <w:rFonts w:ascii="Times New Roman" w:hAnsi="Times New Roman" w:cs="Times New Roman"/>
          <w:sz w:val="24"/>
          <w:szCs w:val="24"/>
        </w:rPr>
        <w:br/>
        <w:t>Согласно пункту 15.7.5  Единого отраслевого стандарта закупок (положение о закупке)  государственной корпорации по атомной энергии «РОСАТОМ» по итогам рассмотрения первых частей заявок аукционная комиссия на своем заседании в отношении каждого участника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r>
        <w:rPr>
          <w:rFonts w:ascii="Times New Roman" w:hAnsi="Times New Roman" w:cs="Times New Roman"/>
          <w:sz w:val="24"/>
          <w:szCs w:val="24"/>
        </w:rPr>
        <w:br/>
        <w:t>несоответствие первой части заявки по составу и содержанию,</w:t>
      </w:r>
      <w:r>
        <w:rPr>
          <w:rFonts w:ascii="Times New Roman" w:hAnsi="Times New Roman" w:cs="Times New Roman"/>
          <w:sz w:val="24"/>
          <w:szCs w:val="24"/>
        </w:rPr>
        <w:br/>
        <w:t>предоставление участником в составе первой части заявки недостоверных сведений;</w:t>
      </w:r>
      <w:r>
        <w:rPr>
          <w:rFonts w:ascii="Times New Roman" w:hAnsi="Times New Roman" w:cs="Times New Roman"/>
          <w:sz w:val="24"/>
          <w:szCs w:val="24"/>
        </w:rPr>
        <w:br/>
        <w:t>несоответствие продукции и (или)  договорных условий,  указанных в заявке на участие в аукционе,  требованиям аукционной документации</w:t>
      </w:r>
      <w:r>
        <w:rPr>
          <w:rFonts w:ascii="Times New Roman" w:hAnsi="Times New Roman" w:cs="Times New Roman"/>
          <w:sz w:val="24"/>
          <w:szCs w:val="24"/>
        </w:rPr>
        <w:br/>
        <w:t>Следовательно,  заявка потенциального участника,  не имеющего возможности поставить все группы товаров,  перечисленные в разделе 6  аукционной документации,  будет отклонена заказчиком как несоответствующая требования аукционной документации.</w:t>
      </w:r>
      <w:r>
        <w:rPr>
          <w:rFonts w:ascii="Times New Roman" w:hAnsi="Times New Roman" w:cs="Times New Roman"/>
          <w:sz w:val="24"/>
          <w:szCs w:val="24"/>
        </w:rPr>
        <w:br/>
        <w:t>Объединение в один лот различных по функциональным характеристикам продуктов питания влечет за собой ограничение конкуренции при проведении торгов ввиду сокращения числа хозяйствующих субъектов,  которые могут принять участие в торгах.  Так,  например,  ООО «Вектор» готов поставить весь ассортимент молочной продукции,  но это только одна группа товаров из 3,  установленных в документации об аукционе.</w:t>
      </w:r>
      <w:r>
        <w:rPr>
          <w:rFonts w:ascii="Times New Roman" w:hAnsi="Times New Roman" w:cs="Times New Roman"/>
          <w:sz w:val="24"/>
          <w:szCs w:val="24"/>
        </w:rPr>
        <w:br/>
      </w:r>
      <w:r>
        <w:rPr>
          <w:rFonts w:ascii="Times New Roman" w:hAnsi="Times New Roman" w:cs="Times New Roman"/>
          <w:sz w:val="24"/>
          <w:szCs w:val="24"/>
        </w:rPr>
        <w:lastRenderedPageBreak/>
        <w:t>Закупка различных видов продукции в рамках одного лота не позволяет хозяйствующим субъектам,  а также организациям,  специализирующимся на поставках определенных видов продуктов питания,  участвовать в аукционе,  что может привести к ограничению конкуренции,  так как исключается возможность поставки отдельных видов товаров,  указанных в аукционной документации.</w:t>
      </w:r>
      <w:r>
        <w:rPr>
          <w:rFonts w:ascii="Times New Roman" w:hAnsi="Times New Roman" w:cs="Times New Roman"/>
          <w:sz w:val="24"/>
          <w:szCs w:val="24"/>
        </w:rPr>
        <w:br/>
        <w:t>Таким образом,  при проведении ФГУП «ПО «Маяк» открытого аукциона в электронной форме лот сформирован с нарушением подпункта 2  пункта 1  статьи 3  Федерального закона от 18.07.2011  № 223-ФЗ «О закупках товаров,  работ,  услуг отдельными видами юридических лиц» и может привести к ограничению или устранению конкуренции при проведении торгов.</w:t>
      </w:r>
      <w:r>
        <w:rPr>
          <w:rFonts w:ascii="Times New Roman" w:hAnsi="Times New Roman" w:cs="Times New Roman"/>
          <w:sz w:val="24"/>
          <w:szCs w:val="24"/>
        </w:rPr>
        <w:br/>
        <w:t>При таких обстоятельствах,  жалоба ООО «Вектор» на действия ФГУП «ПО «Маяк» подлежит удовлетворению и является обоснованной.</w:t>
      </w:r>
      <w:r>
        <w:rPr>
          <w:rFonts w:ascii="Times New Roman" w:hAnsi="Times New Roman" w:cs="Times New Roman"/>
          <w:sz w:val="24"/>
          <w:szCs w:val="24"/>
        </w:rPr>
        <w:br/>
        <w:t>На основании изложенного и руководствуясь статьей 18.1  Федерального закона от 26.07.2006  № 135-ФЗ «О защите конкуренции»,  Комиссия</w:t>
      </w:r>
      <w:r>
        <w:rPr>
          <w:rFonts w:ascii="Times New Roman" w:hAnsi="Times New Roman" w:cs="Times New Roman"/>
          <w:sz w:val="24"/>
          <w:szCs w:val="24"/>
        </w:rPr>
        <w:br/>
        <w:t> </w:t>
      </w:r>
      <w:r>
        <w:rPr>
          <w:rFonts w:ascii="Times New Roman" w:hAnsi="Times New Roman" w:cs="Times New Roman"/>
          <w:sz w:val="24"/>
          <w:szCs w:val="24"/>
        </w:rPr>
        <w:br/>
        <w:t>РЕШИЛА:</w:t>
      </w:r>
      <w:r>
        <w:rPr>
          <w:rFonts w:ascii="Times New Roman" w:hAnsi="Times New Roman" w:cs="Times New Roman"/>
          <w:sz w:val="24"/>
          <w:szCs w:val="24"/>
        </w:rPr>
        <w:br/>
        <w:t> </w:t>
      </w:r>
      <w:r>
        <w:rPr>
          <w:rFonts w:ascii="Times New Roman" w:hAnsi="Times New Roman" w:cs="Times New Roman"/>
          <w:sz w:val="24"/>
          <w:szCs w:val="24"/>
        </w:rPr>
        <w:br/>
        <w:t>1.  Признать жалобу ООО «Вектор» на действия (бездействие)  ФГУП «ПО «Маяк»,  выразившиеся в необоснованном объединении разных групп товаров в один лот при проведении открытого аукциона в электронной форме на поставку продуктов питания (извещение № 131220/0491/857),  обоснованной.</w:t>
      </w:r>
      <w:r>
        <w:rPr>
          <w:rFonts w:ascii="Times New Roman" w:hAnsi="Times New Roman" w:cs="Times New Roman"/>
          <w:sz w:val="24"/>
          <w:szCs w:val="24"/>
        </w:rPr>
        <w:br/>
        <w:t>2.  Признать в действиях ФГУП «ПО «Маяк»,  выразившихся в необоснованном объединении разных групп товаров в один лот при проведении открытого аукциона в электронной форме на поставку продуктов питания (извещение № 131220/0491/857),  нарушение подпункта 2  пункта 1  статьи 3  Федерального закона от 18.07.2011  № 223-ФЗ «О закупках товаров,  работ,  услуг отдельными видами юридических лиц».3.  Выдать ФГУП «ПО «Маяк» предписание о совершении действий,  направленных на устранение нарушений порядка организации,  проведения торгов.</w:t>
      </w:r>
      <w:r>
        <w:rPr>
          <w:rFonts w:ascii="Times New Roman" w:hAnsi="Times New Roman" w:cs="Times New Roman"/>
          <w:sz w:val="24"/>
          <w:szCs w:val="24"/>
        </w:rPr>
        <w:br/>
        <w:t>Председатель Комиссии</w:t>
      </w:r>
      <w:r>
        <w:rPr>
          <w:rFonts w:ascii="Times New Roman" w:hAnsi="Times New Roman" w:cs="Times New Roman"/>
          <w:sz w:val="24"/>
          <w:szCs w:val="24"/>
        </w:rPr>
        <w:br/>
        <w:t>Е.Г.  Семенова</w:t>
      </w:r>
      <w:r>
        <w:rPr>
          <w:rFonts w:ascii="Times New Roman" w:hAnsi="Times New Roman" w:cs="Times New Roman"/>
          <w:sz w:val="24"/>
          <w:szCs w:val="24"/>
        </w:rPr>
        <w:br/>
        <w:t>Члены Комиссии</w:t>
      </w:r>
      <w:r>
        <w:rPr>
          <w:rFonts w:ascii="Times New Roman" w:hAnsi="Times New Roman" w:cs="Times New Roman"/>
          <w:sz w:val="24"/>
          <w:szCs w:val="24"/>
        </w:rPr>
        <w:br/>
        <w:t>Ю.М.  Расторгуева</w:t>
      </w:r>
      <w:r>
        <w:rPr>
          <w:rFonts w:ascii="Times New Roman" w:hAnsi="Times New Roman" w:cs="Times New Roman"/>
          <w:sz w:val="24"/>
          <w:szCs w:val="24"/>
        </w:rPr>
        <w:br/>
        <w:t>С.А.  Копылов</w:t>
      </w:r>
      <w:r>
        <w:rPr>
          <w:rFonts w:ascii="Times New Roman" w:hAnsi="Times New Roman" w:cs="Times New Roman"/>
          <w:sz w:val="24"/>
          <w:szCs w:val="24"/>
        </w:rPr>
        <w:br/>
        <w:t>Решение может быть обжаловано в течение трех месяцев со дня его принятия.</w:t>
      </w:r>
      <w:r>
        <w:rPr>
          <w:rFonts w:ascii="Times New Roman" w:hAnsi="Times New Roman" w:cs="Times New Roman"/>
          <w:sz w:val="24"/>
          <w:szCs w:val="24"/>
        </w:rPr>
        <w:br/>
        <w:t> </w:t>
      </w:r>
      <w:r>
        <w:rPr>
          <w:rFonts w:ascii="Times New Roman" w:hAnsi="Times New Roman" w:cs="Times New Roman"/>
          <w:sz w:val="24"/>
          <w:szCs w:val="24"/>
        </w:rPr>
        <w:br/>
        <w:t xml:space="preserve">ПРЕДПИСАНИЕ </w:t>
      </w:r>
      <w:r>
        <w:rPr>
          <w:rFonts w:ascii="Times New Roman" w:hAnsi="Times New Roman" w:cs="Times New Roman"/>
          <w:sz w:val="24"/>
          <w:szCs w:val="24"/>
        </w:rPr>
        <w:br/>
        <w:t>  по жалобе № 1-04-18.1/14</w:t>
      </w:r>
      <w:r>
        <w:rPr>
          <w:rFonts w:ascii="Times New Roman" w:hAnsi="Times New Roman" w:cs="Times New Roman"/>
          <w:sz w:val="24"/>
          <w:szCs w:val="24"/>
        </w:rPr>
        <w:br/>
        <w:t> </w:t>
      </w:r>
      <w:r>
        <w:rPr>
          <w:rFonts w:ascii="Times New Roman" w:hAnsi="Times New Roman" w:cs="Times New Roman"/>
          <w:sz w:val="24"/>
          <w:szCs w:val="24"/>
        </w:rPr>
        <w:br/>
        <w:t>21  января 2014  года                                                                                            </w:t>
      </w:r>
      <w:r>
        <w:rPr>
          <w:rFonts w:ascii="Times New Roman" w:hAnsi="Times New Roman" w:cs="Times New Roman"/>
          <w:sz w:val="24"/>
          <w:szCs w:val="24"/>
        </w:rPr>
        <w:br/>
        <w:t>г.  Челябинск</w:t>
      </w:r>
      <w:r>
        <w:rPr>
          <w:rFonts w:ascii="Times New Roman" w:hAnsi="Times New Roman" w:cs="Times New Roman"/>
          <w:sz w:val="24"/>
          <w:szCs w:val="24"/>
        </w:rPr>
        <w:br/>
        <w:t>Комиссия Управления Федеральной антимонопольной службы по Челябинской области (далее – Челябинское УФАС России)  по рассмотрению жалоб на нарушение процедуры торгов,  иных способов закупок и порядка заключения договоров (далее -  Комиссия)  в составе:</w:t>
      </w:r>
      <w:r>
        <w:rPr>
          <w:rFonts w:ascii="Times New Roman" w:hAnsi="Times New Roman" w:cs="Times New Roman"/>
          <w:sz w:val="24"/>
          <w:szCs w:val="24"/>
        </w:rPr>
        <w:br/>
        <w:t>Председатель Комиссии:</w:t>
      </w:r>
      <w:r>
        <w:rPr>
          <w:rFonts w:ascii="Times New Roman" w:hAnsi="Times New Roman" w:cs="Times New Roman"/>
          <w:sz w:val="24"/>
          <w:szCs w:val="24"/>
        </w:rPr>
        <w:br/>
        <w:t>-  Семенова Е.Г.  – заместитель руководителя Челябинского УФАС России;</w:t>
      </w:r>
      <w:r>
        <w:rPr>
          <w:rFonts w:ascii="Times New Roman" w:hAnsi="Times New Roman" w:cs="Times New Roman"/>
          <w:sz w:val="24"/>
          <w:szCs w:val="24"/>
        </w:rPr>
        <w:br/>
        <w:t>Члены Комиссии</w:t>
      </w:r>
      <w:r>
        <w:rPr>
          <w:rFonts w:ascii="Times New Roman" w:hAnsi="Times New Roman" w:cs="Times New Roman"/>
          <w:sz w:val="24"/>
          <w:szCs w:val="24"/>
        </w:rPr>
        <w:br/>
        <w:t>-  Расторгуева Ю.М.  – начальник отдела антимонопольного контроля Челябинского УФАС России;</w:t>
      </w:r>
      <w:r>
        <w:rPr>
          <w:rFonts w:ascii="Times New Roman" w:hAnsi="Times New Roman" w:cs="Times New Roman"/>
          <w:sz w:val="24"/>
          <w:szCs w:val="24"/>
        </w:rPr>
        <w:br/>
        <w:t>-  Копылов С.А.  – ведущий специалист-эксперт отдела антимонопольного контроля Челябинского УФАС России,</w:t>
      </w:r>
      <w:r>
        <w:rPr>
          <w:rFonts w:ascii="Times New Roman" w:hAnsi="Times New Roman" w:cs="Times New Roman"/>
          <w:sz w:val="24"/>
          <w:szCs w:val="24"/>
        </w:rPr>
        <w:br/>
        <w:t xml:space="preserve">рассмотрев жалобу № 1-04-18.1/13  ООО «Вектор» на действия (бездействие)  ФГУП «ПО «Маяк»,  выразившиеся в необоснованном объединении разных групп товаров в один лот при проведении открытого аукциона в электронной форме на поставку продуктов питания </w:t>
      </w:r>
      <w:r>
        <w:rPr>
          <w:rFonts w:ascii="Times New Roman" w:hAnsi="Times New Roman" w:cs="Times New Roman"/>
          <w:sz w:val="24"/>
          <w:szCs w:val="24"/>
        </w:rPr>
        <w:lastRenderedPageBreak/>
        <w:t>(извещение № 131220/0491/857),</w:t>
      </w:r>
      <w:r>
        <w:rPr>
          <w:rFonts w:ascii="Times New Roman" w:hAnsi="Times New Roman" w:cs="Times New Roman"/>
          <w:sz w:val="24"/>
          <w:szCs w:val="24"/>
        </w:rPr>
        <w:br/>
        <w:t> </w:t>
      </w:r>
      <w:r>
        <w:rPr>
          <w:rFonts w:ascii="Times New Roman" w:hAnsi="Times New Roman" w:cs="Times New Roman"/>
          <w:sz w:val="24"/>
          <w:szCs w:val="24"/>
        </w:rPr>
        <w:br/>
        <w:t>ПРЕДПИСЫВАЕТ:</w:t>
      </w:r>
      <w:r>
        <w:rPr>
          <w:rFonts w:ascii="Times New Roman" w:hAnsi="Times New Roman" w:cs="Times New Roman"/>
          <w:sz w:val="24"/>
          <w:szCs w:val="24"/>
        </w:rPr>
        <w:br/>
        <w:t> </w:t>
      </w:r>
      <w:r>
        <w:rPr>
          <w:rFonts w:ascii="Times New Roman" w:hAnsi="Times New Roman" w:cs="Times New Roman"/>
          <w:sz w:val="24"/>
          <w:szCs w:val="24"/>
        </w:rPr>
        <w:br/>
        <w:t>1.        ФГУП «ПО «Маяк» прекратить нарушение подпункта 2  пункта 1  статьи 3  Федерального закона от 18.07.2011  № 223-ФЗ «О закупках товаров,  работ,  услуг отдельными видами юридических лиц»,  выразившиеся в необоснованном объединении разных групп товаров в один лот при проведении открытого аукциона в электронной форме на поставку продуктов питания (извещение № 131220/0491/857).</w:t>
      </w:r>
      <w:r>
        <w:rPr>
          <w:rFonts w:ascii="Times New Roman" w:hAnsi="Times New Roman" w:cs="Times New Roman"/>
          <w:sz w:val="24"/>
          <w:szCs w:val="24"/>
        </w:rPr>
        <w:br/>
        <w:t>2.1.  ФГУП «ПО «Маяк» аннулировать торги (извещение № 131220/0491/857).</w:t>
      </w:r>
      <w:r>
        <w:rPr>
          <w:rFonts w:ascii="Times New Roman" w:hAnsi="Times New Roman" w:cs="Times New Roman"/>
          <w:sz w:val="24"/>
          <w:szCs w:val="24"/>
        </w:rPr>
        <w:br/>
        <w:t>2.2.   ФГУП «ПО «Маяк» при проведении последующих процедур закупок товаров не допускать объединение разных групп товаров в одну процедуру торгов и (или)  лот.</w:t>
      </w:r>
      <w:r>
        <w:rPr>
          <w:rFonts w:ascii="Times New Roman" w:hAnsi="Times New Roman" w:cs="Times New Roman"/>
          <w:sz w:val="24"/>
          <w:szCs w:val="24"/>
        </w:rPr>
        <w:br/>
        <w:t> </w:t>
      </w:r>
      <w:r>
        <w:rPr>
          <w:rFonts w:ascii="Times New Roman" w:hAnsi="Times New Roman" w:cs="Times New Roman"/>
          <w:sz w:val="24"/>
          <w:szCs w:val="24"/>
        </w:rPr>
        <w:br/>
        <w:t>Председатель Комиссии                                                                                 </w:t>
      </w:r>
      <w:r>
        <w:rPr>
          <w:rFonts w:ascii="Times New Roman" w:hAnsi="Times New Roman" w:cs="Times New Roman"/>
          <w:sz w:val="24"/>
          <w:szCs w:val="24"/>
        </w:rPr>
        <w:br/>
        <w:t>Е.Г.  Семенова</w:t>
      </w:r>
      <w:r>
        <w:rPr>
          <w:rFonts w:ascii="Times New Roman" w:hAnsi="Times New Roman" w:cs="Times New Roman"/>
          <w:sz w:val="24"/>
          <w:szCs w:val="24"/>
        </w:rPr>
        <w:br/>
        <w:t>Члены Комиссии                                                                                      </w:t>
      </w:r>
      <w:r>
        <w:rPr>
          <w:rFonts w:ascii="Times New Roman" w:hAnsi="Times New Roman" w:cs="Times New Roman"/>
          <w:sz w:val="24"/>
          <w:szCs w:val="24"/>
        </w:rPr>
        <w:br/>
        <w:t>Ю.М.  Расторгуева</w:t>
      </w:r>
      <w:r>
        <w:rPr>
          <w:rFonts w:ascii="Times New Roman" w:hAnsi="Times New Roman" w:cs="Times New Roman"/>
          <w:sz w:val="24"/>
          <w:szCs w:val="24"/>
        </w:rPr>
        <w:br/>
        <w:t>С.А.  Копылов</w:t>
      </w:r>
      <w:r>
        <w:rPr>
          <w:rFonts w:ascii="Times New Roman" w:hAnsi="Times New Roman" w:cs="Times New Roman"/>
          <w:sz w:val="24"/>
          <w:szCs w:val="24"/>
        </w:rPr>
        <w:br/>
        <w:t>Предписание может быть обжаловано в течение трех месяцев со дня его выдачи.</w:t>
      </w:r>
      <w:r>
        <w:rPr>
          <w:rFonts w:ascii="Times New Roman" w:hAnsi="Times New Roman" w:cs="Times New Roman"/>
          <w:sz w:val="24"/>
          <w:szCs w:val="24"/>
        </w:rPr>
        <w:br/>
        <w:t>Примечание.  За невыполнение в установленный срок законного предписания антимонопольного органа Кодексом Российской Федерации об административных правонарушениях установлена административная ответственность.</w:t>
      </w:r>
      <w:r>
        <w:rPr>
          <w:rFonts w:ascii="Times New Roman" w:hAnsi="Times New Roman" w:cs="Times New Roman"/>
          <w:sz w:val="24"/>
          <w:szCs w:val="24"/>
        </w:rPr>
        <w:br/>
        <w:t> </w:t>
      </w:r>
      <w:r>
        <w:rPr>
          <w:rFonts w:ascii="Times New Roman" w:hAnsi="Times New Roman" w:cs="Times New Roman"/>
          <w:sz w:val="24"/>
          <w:szCs w:val="24"/>
        </w:rPr>
        <w:b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   </w:t>
      </w:r>
      <w:r>
        <w:rPr>
          <w:rFonts w:ascii="Times New Roman" w:hAnsi="Times New Roman" w:cs="Times New Roman"/>
          <w:sz w:val="24"/>
          <w:szCs w:val="24"/>
        </w:rPr>
        <w:br/>
      </w:r>
    </w:p>
    <w:p w:rsidR="0098483D" w:rsidRDefault="0098483D" w:rsidP="0098483D">
      <w:pPr>
        <w:widowControl w:val="0"/>
        <w:autoSpaceDE w:val="0"/>
        <w:autoSpaceDN w:val="0"/>
        <w:adjustRightInd w:val="0"/>
        <w:spacing w:after="0" w:line="240" w:lineRule="auto"/>
      </w:pPr>
      <w:r>
        <w:rPr>
          <w:rFonts w:ascii="Times New Roman" w:hAnsi="Times New Roman" w:cs="Times New Roman"/>
          <w:b/>
          <w:bCs/>
          <w:sz w:val="24"/>
          <w:szCs w:val="24"/>
        </w:rPr>
        <w:t>2014-01-23  11:07:00</w:t>
      </w:r>
    </w:p>
    <w:p w:rsidR="003C02C3" w:rsidRDefault="003C02C3"/>
    <w:sectPr w:rsidR="003C02C3" w:rsidSect="00ED0CB7">
      <w:pgSz w:w="11906" w:h="16838" w:code="9"/>
      <w:pgMar w:top="851" w:right="850" w:bottom="851" w:left="1701" w:header="720" w:footer="720" w:gutter="0"/>
      <w:cols w:space="708"/>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rawingGridVerticalSpacing w:val="299"/>
  <w:displayHorizontalDrawingGridEvery w:val="0"/>
  <w:characterSpacingControl w:val="doNotCompress"/>
  <w:compat/>
  <w:rsids>
    <w:rsidRoot w:val="0098483D"/>
    <w:rsid w:val="00245CCB"/>
    <w:rsid w:val="00337637"/>
    <w:rsid w:val="003C02C3"/>
    <w:rsid w:val="005B3304"/>
    <w:rsid w:val="007E5CA9"/>
    <w:rsid w:val="007F4510"/>
    <w:rsid w:val="0098483D"/>
    <w:rsid w:val="009E4738"/>
    <w:rsid w:val="00A518CA"/>
    <w:rsid w:val="00C8795D"/>
    <w:rsid w:val="00ED0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83D"/>
    <w:pPr>
      <w:spacing w:after="200" w:line="276" w:lineRule="auto"/>
      <w:ind w:firstLine="0"/>
      <w:jc w:val="left"/>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475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2750</Words>
  <Characters>15679</Characters>
  <Application>Microsoft Office Word</Application>
  <DocSecurity>0</DocSecurity>
  <Lines>130</Lines>
  <Paragraphs>36</Paragraphs>
  <ScaleCrop>false</ScaleCrop>
  <Company>ПО Маяк</Company>
  <LinksUpToDate>false</LinksUpToDate>
  <CharactersWithSpaces>18393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3</cp:revision>
  <dcterms:created xsi:type="dcterms:W3CDTF">2014-01-27T06:28:00Z</dcterms:created>
  <dcterms:modified xsi:type="dcterms:W3CDTF">2014-01-27T06:28:00Z</dcterms:modified>
</cp:coreProperties>
</file>